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B5308" w14:textId="51CBC4C1" w:rsidR="00813DB8" w:rsidRPr="00AA64AE" w:rsidRDefault="00531117" w:rsidP="0073677A">
      <w:pPr>
        <w:spacing w:line="360" w:lineRule="auto"/>
        <w:jc w:val="right"/>
        <w:rPr>
          <w:b/>
          <w:sz w:val="32"/>
          <w:szCs w:val="32"/>
          <w:lang w:val="en-GB"/>
        </w:rPr>
      </w:pPr>
      <w:bookmarkStart w:id="0" w:name="_GoBack"/>
      <w:bookmarkEnd w:id="0"/>
      <w:r w:rsidRPr="00AA64AE">
        <w:rPr>
          <w:b/>
          <w:sz w:val="32"/>
          <w:szCs w:val="32"/>
          <w:lang w:val="en-GB"/>
        </w:rPr>
        <w:t>POLAND D</w:t>
      </w:r>
    </w:p>
    <w:p w14:paraId="343D2463" w14:textId="77777777" w:rsidR="00531117" w:rsidRPr="00AA64AE" w:rsidRDefault="00531117" w:rsidP="0073677A">
      <w:pPr>
        <w:spacing w:line="360" w:lineRule="auto"/>
        <w:jc w:val="right"/>
        <w:rPr>
          <w:b/>
          <w:sz w:val="32"/>
          <w:szCs w:val="32"/>
          <w:lang w:val="en-GB"/>
        </w:rPr>
      </w:pPr>
      <w:r w:rsidRPr="00AA64AE">
        <w:rPr>
          <w:b/>
          <w:sz w:val="32"/>
          <w:szCs w:val="32"/>
          <w:lang w:val="en-GB"/>
        </w:rPr>
        <w:t>HS MCC 2017</w:t>
      </w:r>
    </w:p>
    <w:p w14:paraId="28A9B292" w14:textId="77777777" w:rsidR="00531117" w:rsidRPr="00AA64AE" w:rsidRDefault="00531117" w:rsidP="0073677A">
      <w:pPr>
        <w:spacing w:line="360" w:lineRule="auto"/>
        <w:jc w:val="right"/>
        <w:rPr>
          <w:b/>
          <w:sz w:val="32"/>
          <w:szCs w:val="32"/>
          <w:lang w:val="en-GB"/>
        </w:rPr>
      </w:pPr>
    </w:p>
    <w:p w14:paraId="5CF38D02" w14:textId="77777777" w:rsidR="00531117" w:rsidRPr="00AA64AE" w:rsidRDefault="00531117" w:rsidP="0073677A">
      <w:pPr>
        <w:spacing w:line="360" w:lineRule="auto"/>
        <w:jc w:val="right"/>
        <w:rPr>
          <w:b/>
          <w:sz w:val="32"/>
          <w:szCs w:val="32"/>
          <w:lang w:val="en-GB"/>
        </w:rPr>
      </w:pPr>
    </w:p>
    <w:p w14:paraId="0675663D" w14:textId="77777777" w:rsidR="00531117" w:rsidRPr="00AA64AE" w:rsidRDefault="00531117" w:rsidP="0073677A">
      <w:pPr>
        <w:spacing w:line="360" w:lineRule="auto"/>
        <w:jc w:val="right"/>
        <w:rPr>
          <w:b/>
          <w:sz w:val="32"/>
          <w:szCs w:val="32"/>
          <w:lang w:val="en-GB"/>
        </w:rPr>
      </w:pPr>
    </w:p>
    <w:p w14:paraId="7908B242" w14:textId="77777777" w:rsidR="00531117" w:rsidRPr="00AA64AE" w:rsidRDefault="00531117" w:rsidP="0073677A">
      <w:pPr>
        <w:spacing w:line="360" w:lineRule="auto"/>
        <w:jc w:val="right"/>
        <w:rPr>
          <w:b/>
          <w:sz w:val="32"/>
          <w:szCs w:val="32"/>
          <w:lang w:val="en-GB"/>
        </w:rPr>
      </w:pPr>
    </w:p>
    <w:p w14:paraId="21CA5EF7" w14:textId="77777777" w:rsidR="008F51FB" w:rsidRPr="00AA64AE" w:rsidRDefault="008F51FB" w:rsidP="0073677A">
      <w:pPr>
        <w:spacing w:line="360" w:lineRule="auto"/>
        <w:jc w:val="right"/>
        <w:rPr>
          <w:b/>
          <w:sz w:val="32"/>
          <w:szCs w:val="32"/>
          <w:lang w:val="en-GB"/>
        </w:rPr>
      </w:pPr>
    </w:p>
    <w:p w14:paraId="6BA9E3CC" w14:textId="77777777" w:rsidR="008F51FB" w:rsidRPr="00AA64AE" w:rsidRDefault="008F51FB" w:rsidP="0073677A">
      <w:pPr>
        <w:spacing w:line="360" w:lineRule="auto"/>
        <w:jc w:val="right"/>
        <w:rPr>
          <w:b/>
          <w:sz w:val="32"/>
          <w:szCs w:val="32"/>
          <w:lang w:val="en-GB"/>
        </w:rPr>
      </w:pPr>
    </w:p>
    <w:p w14:paraId="6F95008B" w14:textId="77777777" w:rsidR="008F51FB" w:rsidRPr="00AA64AE" w:rsidRDefault="008F51FB" w:rsidP="0073677A">
      <w:pPr>
        <w:spacing w:line="360" w:lineRule="auto"/>
        <w:jc w:val="right"/>
        <w:rPr>
          <w:b/>
          <w:sz w:val="32"/>
          <w:szCs w:val="32"/>
          <w:lang w:val="en-GB"/>
        </w:rPr>
      </w:pPr>
    </w:p>
    <w:p w14:paraId="5DAB8A48" w14:textId="77777777" w:rsidR="00531117" w:rsidRPr="00AA64AE" w:rsidRDefault="00531117" w:rsidP="0073677A">
      <w:pPr>
        <w:spacing w:line="360" w:lineRule="auto"/>
        <w:jc w:val="right"/>
        <w:rPr>
          <w:b/>
          <w:sz w:val="32"/>
          <w:szCs w:val="32"/>
          <w:lang w:val="en-GB"/>
        </w:rPr>
      </w:pPr>
    </w:p>
    <w:p w14:paraId="18E4D32F" w14:textId="77777777" w:rsidR="00531117" w:rsidRPr="00AA64AE" w:rsidRDefault="00531117" w:rsidP="0073677A">
      <w:pPr>
        <w:spacing w:line="360" w:lineRule="auto"/>
        <w:jc w:val="right"/>
        <w:rPr>
          <w:b/>
          <w:sz w:val="32"/>
          <w:szCs w:val="32"/>
          <w:lang w:val="en-GB"/>
        </w:rPr>
      </w:pPr>
    </w:p>
    <w:p w14:paraId="1D86828D" w14:textId="77777777" w:rsidR="00531117" w:rsidRPr="00AA64AE" w:rsidRDefault="00531117" w:rsidP="0073677A">
      <w:pPr>
        <w:spacing w:line="360" w:lineRule="auto"/>
        <w:jc w:val="right"/>
        <w:rPr>
          <w:b/>
          <w:sz w:val="32"/>
          <w:szCs w:val="32"/>
          <w:lang w:val="en-GB"/>
        </w:rPr>
      </w:pPr>
    </w:p>
    <w:p w14:paraId="4C4B11D8" w14:textId="77777777" w:rsidR="00531117" w:rsidRPr="00AA64AE" w:rsidRDefault="00531117" w:rsidP="0073677A">
      <w:pPr>
        <w:spacing w:line="360" w:lineRule="auto"/>
        <w:jc w:val="center"/>
        <w:rPr>
          <w:b/>
          <w:sz w:val="32"/>
          <w:szCs w:val="32"/>
          <w:lang w:val="en-GB"/>
        </w:rPr>
      </w:pPr>
      <w:r w:rsidRPr="00AA64AE">
        <w:rPr>
          <w:b/>
          <w:sz w:val="32"/>
          <w:szCs w:val="32"/>
          <w:lang w:val="en-GB"/>
        </w:rPr>
        <w:t>STATEMENT FOR DEFENDANT</w:t>
      </w:r>
    </w:p>
    <w:p w14:paraId="76F87544" w14:textId="77777777" w:rsidR="00531117" w:rsidRPr="00AA64AE" w:rsidRDefault="00531117" w:rsidP="0073677A">
      <w:pPr>
        <w:spacing w:line="360" w:lineRule="auto"/>
        <w:jc w:val="center"/>
        <w:rPr>
          <w:lang w:val="en-GB"/>
        </w:rPr>
      </w:pPr>
    </w:p>
    <w:p w14:paraId="34B79DD3" w14:textId="77777777" w:rsidR="00531117" w:rsidRPr="00AA64AE" w:rsidRDefault="00531117" w:rsidP="0073677A">
      <w:pPr>
        <w:spacing w:line="360" w:lineRule="auto"/>
        <w:jc w:val="center"/>
        <w:rPr>
          <w:lang w:val="en-GB"/>
        </w:rPr>
      </w:pPr>
    </w:p>
    <w:p w14:paraId="032E85B1" w14:textId="77777777" w:rsidR="00531117" w:rsidRPr="00AA64AE" w:rsidRDefault="00531117" w:rsidP="0073677A">
      <w:pPr>
        <w:spacing w:line="360" w:lineRule="auto"/>
        <w:jc w:val="center"/>
        <w:rPr>
          <w:lang w:val="en-GB"/>
        </w:rPr>
      </w:pPr>
    </w:p>
    <w:p w14:paraId="2ACB8934" w14:textId="77777777" w:rsidR="00531117" w:rsidRPr="00AA64AE" w:rsidRDefault="00531117" w:rsidP="0073677A">
      <w:pPr>
        <w:spacing w:line="360" w:lineRule="auto"/>
        <w:jc w:val="center"/>
        <w:rPr>
          <w:lang w:val="en-GB"/>
        </w:rPr>
      </w:pPr>
    </w:p>
    <w:p w14:paraId="5D5B68AE" w14:textId="77777777" w:rsidR="00531117" w:rsidRPr="00AA64AE" w:rsidRDefault="00531117" w:rsidP="0073677A">
      <w:pPr>
        <w:spacing w:line="360" w:lineRule="auto"/>
        <w:jc w:val="center"/>
        <w:rPr>
          <w:lang w:val="en-GB"/>
        </w:rPr>
      </w:pPr>
    </w:p>
    <w:p w14:paraId="16CBD56C" w14:textId="77777777" w:rsidR="00531117" w:rsidRPr="00AA64AE" w:rsidRDefault="00531117" w:rsidP="0073677A">
      <w:pPr>
        <w:spacing w:line="360" w:lineRule="auto"/>
        <w:jc w:val="center"/>
        <w:rPr>
          <w:lang w:val="en-GB"/>
        </w:rPr>
      </w:pPr>
    </w:p>
    <w:p w14:paraId="24C74D87" w14:textId="77777777" w:rsidR="00531117" w:rsidRPr="00AA64AE" w:rsidRDefault="00531117" w:rsidP="0073677A">
      <w:pPr>
        <w:spacing w:line="360" w:lineRule="auto"/>
        <w:jc w:val="center"/>
        <w:rPr>
          <w:lang w:val="en-GB"/>
        </w:rPr>
      </w:pPr>
    </w:p>
    <w:p w14:paraId="0CF5FDDA" w14:textId="77777777" w:rsidR="00531117" w:rsidRPr="00AA64AE" w:rsidRDefault="00531117" w:rsidP="0073677A">
      <w:pPr>
        <w:spacing w:line="360" w:lineRule="auto"/>
        <w:jc w:val="center"/>
        <w:rPr>
          <w:lang w:val="en-GB"/>
        </w:rPr>
      </w:pPr>
    </w:p>
    <w:p w14:paraId="54184473" w14:textId="77777777" w:rsidR="00531117" w:rsidRPr="00AA64AE" w:rsidRDefault="00531117" w:rsidP="0073677A">
      <w:pPr>
        <w:spacing w:line="360" w:lineRule="auto"/>
        <w:jc w:val="center"/>
        <w:rPr>
          <w:lang w:val="en-GB"/>
        </w:rPr>
      </w:pPr>
    </w:p>
    <w:p w14:paraId="4206C8B8" w14:textId="77777777" w:rsidR="00531117" w:rsidRPr="00AA64AE" w:rsidRDefault="00531117" w:rsidP="0073677A">
      <w:pPr>
        <w:spacing w:line="360" w:lineRule="auto"/>
        <w:jc w:val="center"/>
        <w:rPr>
          <w:lang w:val="en-GB"/>
        </w:rPr>
      </w:pPr>
    </w:p>
    <w:p w14:paraId="18CD0E22" w14:textId="77777777" w:rsidR="008F51FB" w:rsidRPr="00AA64AE" w:rsidRDefault="008F51FB">
      <w:pPr>
        <w:rPr>
          <w:lang w:val="en-GB"/>
        </w:rPr>
      </w:pPr>
      <w:r w:rsidRPr="00AA64AE">
        <w:rPr>
          <w:lang w:val="en-GB"/>
        </w:rPr>
        <w:br w:type="page"/>
      </w:r>
    </w:p>
    <w:p w14:paraId="00B74804" w14:textId="616FCB09" w:rsidR="00451616" w:rsidRPr="00AA64AE" w:rsidRDefault="00C847A5" w:rsidP="00FA6861">
      <w:pPr>
        <w:pStyle w:val="Kop2"/>
        <w:rPr>
          <w:lang w:val="en-GB"/>
        </w:rPr>
      </w:pPr>
      <w:bookmarkStart w:id="1" w:name="_Toc480403674"/>
      <w:bookmarkStart w:id="2" w:name="_Toc480403816"/>
      <w:bookmarkStart w:id="3" w:name="_Toc481400970"/>
      <w:r w:rsidRPr="00AA64AE">
        <w:rPr>
          <w:lang w:val="en-GB"/>
        </w:rPr>
        <w:lastRenderedPageBreak/>
        <w:t>TABLE OF CONTENTS</w:t>
      </w:r>
      <w:bookmarkEnd w:id="1"/>
      <w:bookmarkEnd w:id="2"/>
      <w:bookmarkEnd w:id="3"/>
    </w:p>
    <w:p w14:paraId="42E5AD95" w14:textId="77777777" w:rsidR="00FE065C" w:rsidRPr="00AA64AE" w:rsidRDefault="00FE065C" w:rsidP="00FE065C">
      <w:pPr>
        <w:pStyle w:val="Kop2"/>
        <w:jc w:val="left"/>
        <w:rPr>
          <w:lang w:val="en-GB"/>
        </w:rPr>
      </w:pPr>
    </w:p>
    <w:p w14:paraId="69542073" w14:textId="77777777" w:rsidR="00C34BDF" w:rsidRDefault="00634453">
      <w:pPr>
        <w:pStyle w:val="Inhopg2"/>
        <w:tabs>
          <w:tab w:val="right" w:leader="dot" w:pos="9056"/>
        </w:tabs>
        <w:rPr>
          <w:noProof/>
        </w:rPr>
      </w:pPr>
      <w:r>
        <w:rPr>
          <w:sz w:val="22"/>
          <w:lang w:val="en-GB"/>
        </w:rPr>
        <w:fldChar w:fldCharType="begin"/>
      </w:r>
      <w:r>
        <w:rPr>
          <w:sz w:val="22"/>
          <w:lang w:val="en-GB"/>
        </w:rPr>
        <w:instrText xml:space="preserve"> TOC \o "1-2" </w:instrText>
      </w:r>
      <w:r>
        <w:rPr>
          <w:sz w:val="22"/>
          <w:lang w:val="en-GB"/>
        </w:rPr>
        <w:fldChar w:fldCharType="separate"/>
      </w:r>
      <w:r w:rsidR="00C34BDF" w:rsidRPr="00E51DAF">
        <w:rPr>
          <w:noProof/>
          <w:lang w:val="en-GB"/>
        </w:rPr>
        <w:t>TABLE OF CONTENTS</w:t>
      </w:r>
      <w:r w:rsidR="00C34BDF" w:rsidRPr="00C34BDF">
        <w:rPr>
          <w:noProof/>
          <w:lang w:val="en-US"/>
        </w:rPr>
        <w:tab/>
      </w:r>
      <w:r w:rsidR="00C34BDF">
        <w:rPr>
          <w:noProof/>
        </w:rPr>
        <w:fldChar w:fldCharType="begin"/>
      </w:r>
      <w:r w:rsidR="00C34BDF" w:rsidRPr="00C34BDF">
        <w:rPr>
          <w:noProof/>
          <w:lang w:val="en-US"/>
        </w:rPr>
        <w:instrText xml:space="preserve"> PAGEREF _Toc481400970 \h </w:instrText>
      </w:r>
      <w:r w:rsidR="00C34BDF">
        <w:rPr>
          <w:noProof/>
        </w:rPr>
      </w:r>
      <w:r w:rsidR="00C34BDF">
        <w:rPr>
          <w:noProof/>
        </w:rPr>
        <w:fldChar w:fldCharType="separate"/>
      </w:r>
      <w:r w:rsidR="00C34BDF" w:rsidRPr="00C34BDF">
        <w:rPr>
          <w:noProof/>
          <w:lang w:val="en-US"/>
        </w:rPr>
        <w:t>2</w:t>
      </w:r>
      <w:r w:rsidR="00C34BDF">
        <w:rPr>
          <w:noProof/>
        </w:rPr>
        <w:fldChar w:fldCharType="end"/>
      </w:r>
    </w:p>
    <w:p w14:paraId="596D7752" w14:textId="77777777" w:rsidR="00C34BDF" w:rsidRDefault="00C34BDF" w:rsidP="00C34BDF">
      <w:pPr>
        <w:rPr>
          <w:lang w:val="en-US"/>
        </w:rPr>
      </w:pPr>
    </w:p>
    <w:p w14:paraId="65A2B12D" w14:textId="77777777" w:rsidR="00C34BDF" w:rsidRPr="00C34BDF" w:rsidRDefault="00C34BDF" w:rsidP="00C34BDF">
      <w:pPr>
        <w:rPr>
          <w:lang w:val="en-US"/>
        </w:rPr>
      </w:pPr>
    </w:p>
    <w:p w14:paraId="5B6DD28A" w14:textId="77777777" w:rsidR="00C34BDF" w:rsidRDefault="00C34BDF">
      <w:pPr>
        <w:pStyle w:val="Inhopg2"/>
        <w:tabs>
          <w:tab w:val="right" w:leader="dot" w:pos="9056"/>
        </w:tabs>
        <w:rPr>
          <w:noProof/>
        </w:rPr>
      </w:pPr>
      <w:r w:rsidRPr="00E51DAF">
        <w:rPr>
          <w:noProof/>
          <w:lang w:val="en-GB"/>
        </w:rPr>
        <w:t>LIST OF REFERENCES TO LEGAL SOURCES AND DOCTRINE</w:t>
      </w:r>
      <w:r w:rsidRPr="00C34BDF">
        <w:rPr>
          <w:noProof/>
          <w:lang w:val="en-US"/>
        </w:rPr>
        <w:tab/>
      </w:r>
      <w:r>
        <w:rPr>
          <w:noProof/>
        </w:rPr>
        <w:fldChar w:fldCharType="begin"/>
      </w:r>
      <w:r w:rsidRPr="00C34BDF">
        <w:rPr>
          <w:noProof/>
          <w:lang w:val="en-US"/>
        </w:rPr>
        <w:instrText xml:space="preserve"> PAGEREF _Toc481400971 \h </w:instrText>
      </w:r>
      <w:r>
        <w:rPr>
          <w:noProof/>
        </w:rPr>
      </w:r>
      <w:r>
        <w:rPr>
          <w:noProof/>
        </w:rPr>
        <w:fldChar w:fldCharType="separate"/>
      </w:r>
      <w:r w:rsidRPr="00C34BDF">
        <w:rPr>
          <w:noProof/>
          <w:lang w:val="en-US"/>
        </w:rPr>
        <w:t>3</w:t>
      </w:r>
      <w:r>
        <w:rPr>
          <w:noProof/>
        </w:rPr>
        <w:fldChar w:fldCharType="end"/>
      </w:r>
    </w:p>
    <w:p w14:paraId="2D73FBF7" w14:textId="77777777" w:rsidR="00C34BDF" w:rsidRDefault="00C34BDF" w:rsidP="00C34BDF">
      <w:pPr>
        <w:rPr>
          <w:lang w:val="en-US"/>
        </w:rPr>
      </w:pPr>
    </w:p>
    <w:p w14:paraId="55960CCB" w14:textId="77777777" w:rsidR="00C34BDF" w:rsidRPr="00C34BDF" w:rsidRDefault="00C34BDF" w:rsidP="00C34BDF">
      <w:pPr>
        <w:rPr>
          <w:lang w:val="en-US"/>
        </w:rPr>
      </w:pPr>
    </w:p>
    <w:p w14:paraId="1F32CE27" w14:textId="77777777" w:rsidR="00C34BDF" w:rsidRDefault="00C34BDF">
      <w:pPr>
        <w:pStyle w:val="Inhopg2"/>
        <w:tabs>
          <w:tab w:val="right" w:leader="dot" w:pos="9056"/>
        </w:tabs>
        <w:rPr>
          <w:noProof/>
        </w:rPr>
      </w:pPr>
      <w:r w:rsidRPr="00E51DAF">
        <w:rPr>
          <w:noProof/>
          <w:lang w:val="en-GB"/>
        </w:rPr>
        <w:t>STATEMENT OF RELEVANT FACTS</w:t>
      </w:r>
      <w:r w:rsidRPr="00C34BDF">
        <w:rPr>
          <w:noProof/>
          <w:lang w:val="en-US"/>
        </w:rPr>
        <w:tab/>
      </w:r>
      <w:r>
        <w:rPr>
          <w:noProof/>
        </w:rPr>
        <w:fldChar w:fldCharType="begin"/>
      </w:r>
      <w:r w:rsidRPr="00C34BDF">
        <w:rPr>
          <w:noProof/>
          <w:lang w:val="en-US"/>
        </w:rPr>
        <w:instrText xml:space="preserve"> PAGEREF _Toc481400972 \h </w:instrText>
      </w:r>
      <w:r>
        <w:rPr>
          <w:noProof/>
        </w:rPr>
      </w:r>
      <w:r>
        <w:rPr>
          <w:noProof/>
        </w:rPr>
        <w:fldChar w:fldCharType="separate"/>
      </w:r>
      <w:r w:rsidRPr="00C34BDF">
        <w:rPr>
          <w:noProof/>
          <w:lang w:val="en-US"/>
        </w:rPr>
        <w:t>8</w:t>
      </w:r>
      <w:r>
        <w:rPr>
          <w:noProof/>
        </w:rPr>
        <w:fldChar w:fldCharType="end"/>
      </w:r>
    </w:p>
    <w:p w14:paraId="7875AE52" w14:textId="77777777" w:rsidR="00C34BDF" w:rsidRDefault="00C34BDF" w:rsidP="00C34BDF">
      <w:pPr>
        <w:rPr>
          <w:lang w:val="en-US"/>
        </w:rPr>
      </w:pPr>
    </w:p>
    <w:p w14:paraId="55AD732D" w14:textId="77777777" w:rsidR="00C34BDF" w:rsidRPr="00C34BDF" w:rsidRDefault="00C34BDF" w:rsidP="00C34BDF">
      <w:pPr>
        <w:rPr>
          <w:lang w:val="en-US"/>
        </w:rPr>
      </w:pPr>
    </w:p>
    <w:p w14:paraId="7B1B75B9" w14:textId="77777777" w:rsidR="00C34BDF" w:rsidRDefault="00C34BDF">
      <w:pPr>
        <w:pStyle w:val="Inhopg2"/>
        <w:tabs>
          <w:tab w:val="right" w:leader="dot" w:pos="9056"/>
        </w:tabs>
        <w:rPr>
          <w:noProof/>
        </w:rPr>
      </w:pPr>
      <w:r w:rsidRPr="00E51DAF">
        <w:rPr>
          <w:noProof/>
          <w:lang w:val="en-GB"/>
        </w:rPr>
        <w:t>DESCRIPTION OF RELEVANT LEGISLATION</w:t>
      </w:r>
      <w:r w:rsidRPr="00C34BDF">
        <w:rPr>
          <w:noProof/>
          <w:lang w:val="en-US"/>
        </w:rPr>
        <w:tab/>
      </w:r>
      <w:r>
        <w:rPr>
          <w:noProof/>
        </w:rPr>
        <w:fldChar w:fldCharType="begin"/>
      </w:r>
      <w:r w:rsidRPr="00C34BDF">
        <w:rPr>
          <w:noProof/>
          <w:lang w:val="en-US"/>
        </w:rPr>
        <w:instrText xml:space="preserve"> PAGEREF _Toc481400973 \h </w:instrText>
      </w:r>
      <w:r>
        <w:rPr>
          <w:noProof/>
        </w:rPr>
      </w:r>
      <w:r>
        <w:rPr>
          <w:noProof/>
        </w:rPr>
        <w:fldChar w:fldCharType="separate"/>
      </w:r>
      <w:r w:rsidRPr="00C34BDF">
        <w:rPr>
          <w:noProof/>
          <w:lang w:val="en-US"/>
        </w:rPr>
        <w:t>11</w:t>
      </w:r>
      <w:r>
        <w:rPr>
          <w:noProof/>
        </w:rPr>
        <w:fldChar w:fldCharType="end"/>
      </w:r>
    </w:p>
    <w:p w14:paraId="7A287B0F" w14:textId="77777777" w:rsidR="00C34BDF" w:rsidRDefault="00C34BDF" w:rsidP="00C34BDF">
      <w:pPr>
        <w:rPr>
          <w:lang w:val="en-US"/>
        </w:rPr>
      </w:pPr>
    </w:p>
    <w:p w14:paraId="7E05D5FF" w14:textId="77777777" w:rsidR="00C34BDF" w:rsidRPr="00C34BDF" w:rsidRDefault="00C34BDF" w:rsidP="00C34BDF">
      <w:pPr>
        <w:rPr>
          <w:lang w:val="en-US"/>
        </w:rPr>
      </w:pPr>
    </w:p>
    <w:p w14:paraId="678025F4" w14:textId="77777777" w:rsidR="00C34BDF" w:rsidRDefault="00C34BDF">
      <w:pPr>
        <w:pStyle w:val="Inhopg2"/>
        <w:tabs>
          <w:tab w:val="right" w:leader="dot" w:pos="9056"/>
        </w:tabs>
        <w:rPr>
          <w:noProof/>
        </w:rPr>
      </w:pPr>
      <w:r w:rsidRPr="00E51DAF">
        <w:rPr>
          <w:noProof/>
          <w:lang w:val="en-GB"/>
        </w:rPr>
        <w:t>QUESTIONS</w:t>
      </w:r>
      <w:r w:rsidRPr="00C34BDF">
        <w:rPr>
          <w:noProof/>
          <w:lang w:val="en-US"/>
        </w:rPr>
        <w:tab/>
      </w:r>
      <w:r>
        <w:rPr>
          <w:noProof/>
        </w:rPr>
        <w:fldChar w:fldCharType="begin"/>
      </w:r>
      <w:r w:rsidRPr="00C34BDF">
        <w:rPr>
          <w:noProof/>
          <w:lang w:val="en-US"/>
        </w:rPr>
        <w:instrText xml:space="preserve"> PAGEREF _Toc481400974 \h </w:instrText>
      </w:r>
      <w:r>
        <w:rPr>
          <w:noProof/>
        </w:rPr>
      </w:r>
      <w:r>
        <w:rPr>
          <w:noProof/>
        </w:rPr>
        <w:fldChar w:fldCharType="separate"/>
      </w:r>
      <w:r w:rsidRPr="00C34BDF">
        <w:rPr>
          <w:noProof/>
          <w:lang w:val="en-US"/>
        </w:rPr>
        <w:t>15</w:t>
      </w:r>
      <w:r>
        <w:rPr>
          <w:noProof/>
        </w:rPr>
        <w:fldChar w:fldCharType="end"/>
      </w:r>
    </w:p>
    <w:p w14:paraId="40EF990A" w14:textId="77777777" w:rsidR="00C34BDF" w:rsidRDefault="00C34BDF" w:rsidP="00C34BDF">
      <w:pPr>
        <w:rPr>
          <w:lang w:val="en-US"/>
        </w:rPr>
      </w:pPr>
    </w:p>
    <w:p w14:paraId="15DEFDCE" w14:textId="77777777" w:rsidR="00C34BDF" w:rsidRPr="00C34BDF" w:rsidRDefault="00C34BDF" w:rsidP="00C34BDF">
      <w:pPr>
        <w:rPr>
          <w:lang w:val="en-US"/>
        </w:rPr>
      </w:pPr>
    </w:p>
    <w:p w14:paraId="3A3CE346" w14:textId="77777777" w:rsidR="00C34BDF" w:rsidRDefault="00C34BDF">
      <w:pPr>
        <w:pStyle w:val="Inhopg2"/>
        <w:tabs>
          <w:tab w:val="right" w:leader="dot" w:pos="9056"/>
        </w:tabs>
        <w:rPr>
          <w:noProof/>
        </w:rPr>
      </w:pPr>
      <w:r w:rsidRPr="00E51DAF">
        <w:rPr>
          <w:noProof/>
          <w:lang w:val="en-GB"/>
        </w:rPr>
        <w:t>SUMMARY OF ARGUMENTS</w:t>
      </w:r>
      <w:r w:rsidRPr="00C34BDF">
        <w:rPr>
          <w:noProof/>
          <w:lang w:val="en-US"/>
        </w:rPr>
        <w:tab/>
      </w:r>
      <w:r>
        <w:rPr>
          <w:noProof/>
        </w:rPr>
        <w:fldChar w:fldCharType="begin"/>
      </w:r>
      <w:r w:rsidRPr="00C34BDF">
        <w:rPr>
          <w:noProof/>
          <w:lang w:val="en-US"/>
        </w:rPr>
        <w:instrText xml:space="preserve"> PAGEREF _Toc481400975 \h </w:instrText>
      </w:r>
      <w:r>
        <w:rPr>
          <w:noProof/>
        </w:rPr>
      </w:r>
      <w:r>
        <w:rPr>
          <w:noProof/>
        </w:rPr>
        <w:fldChar w:fldCharType="separate"/>
      </w:r>
      <w:r w:rsidRPr="00C34BDF">
        <w:rPr>
          <w:noProof/>
          <w:lang w:val="en-US"/>
        </w:rPr>
        <w:t>16</w:t>
      </w:r>
      <w:r>
        <w:rPr>
          <w:noProof/>
        </w:rPr>
        <w:fldChar w:fldCharType="end"/>
      </w:r>
    </w:p>
    <w:p w14:paraId="26BB97F0" w14:textId="77777777" w:rsidR="00C34BDF" w:rsidRDefault="00C34BDF" w:rsidP="00C34BDF">
      <w:pPr>
        <w:rPr>
          <w:lang w:val="en-US"/>
        </w:rPr>
      </w:pPr>
    </w:p>
    <w:p w14:paraId="05C08C56" w14:textId="77777777" w:rsidR="00C34BDF" w:rsidRPr="00C34BDF" w:rsidRDefault="00C34BDF" w:rsidP="00C34BDF">
      <w:pPr>
        <w:rPr>
          <w:lang w:val="en-US"/>
        </w:rPr>
      </w:pPr>
    </w:p>
    <w:p w14:paraId="4CE7C1E8" w14:textId="77777777" w:rsidR="00C34BDF" w:rsidRDefault="00C34BDF">
      <w:pPr>
        <w:pStyle w:val="Inhopg2"/>
        <w:tabs>
          <w:tab w:val="right" w:leader="dot" w:pos="9056"/>
        </w:tabs>
        <w:rPr>
          <w:noProof/>
        </w:rPr>
      </w:pPr>
      <w:r w:rsidRPr="00E51DAF">
        <w:rPr>
          <w:noProof/>
          <w:lang w:val="en-GB"/>
        </w:rPr>
        <w:t>ARGUMENTS</w:t>
      </w:r>
      <w:r w:rsidRPr="00C34BDF">
        <w:rPr>
          <w:noProof/>
          <w:lang w:val="en-US"/>
        </w:rPr>
        <w:tab/>
      </w:r>
      <w:r>
        <w:rPr>
          <w:noProof/>
        </w:rPr>
        <w:fldChar w:fldCharType="begin"/>
      </w:r>
      <w:r w:rsidRPr="00C34BDF">
        <w:rPr>
          <w:noProof/>
          <w:lang w:val="en-US"/>
        </w:rPr>
        <w:instrText xml:space="preserve"> PAGEREF _Toc481400976 \h </w:instrText>
      </w:r>
      <w:r>
        <w:rPr>
          <w:noProof/>
        </w:rPr>
      </w:r>
      <w:r>
        <w:rPr>
          <w:noProof/>
        </w:rPr>
        <w:fldChar w:fldCharType="separate"/>
      </w:r>
      <w:r w:rsidRPr="00C34BDF">
        <w:rPr>
          <w:noProof/>
          <w:lang w:val="en-US"/>
        </w:rPr>
        <w:t>18</w:t>
      </w:r>
      <w:r>
        <w:rPr>
          <w:noProof/>
        </w:rPr>
        <w:fldChar w:fldCharType="end"/>
      </w:r>
    </w:p>
    <w:p w14:paraId="46D470EB" w14:textId="77777777" w:rsidR="00C34BDF" w:rsidRDefault="00C34BDF" w:rsidP="00C34BDF">
      <w:pPr>
        <w:rPr>
          <w:lang w:val="en-US"/>
        </w:rPr>
      </w:pPr>
    </w:p>
    <w:p w14:paraId="5EFCD19E" w14:textId="77777777" w:rsidR="00C34BDF" w:rsidRPr="00C34BDF" w:rsidRDefault="00C34BDF" w:rsidP="00C34BDF">
      <w:pPr>
        <w:rPr>
          <w:lang w:val="en-US"/>
        </w:rPr>
      </w:pPr>
    </w:p>
    <w:p w14:paraId="7206B413" w14:textId="77777777" w:rsidR="00C34BDF" w:rsidRPr="00C34BDF" w:rsidRDefault="00C34BDF">
      <w:pPr>
        <w:pStyle w:val="Inhopg2"/>
        <w:tabs>
          <w:tab w:val="right" w:leader="dot" w:pos="9056"/>
        </w:tabs>
        <w:rPr>
          <w:rFonts w:asciiTheme="minorHAnsi" w:eastAsiaTheme="minorEastAsia" w:hAnsiTheme="minorHAnsi" w:cstheme="minorBidi"/>
          <w:b w:val="0"/>
          <w:bCs w:val="0"/>
          <w:noProof/>
          <w:sz w:val="24"/>
          <w:szCs w:val="24"/>
          <w:lang w:val="en-US"/>
        </w:rPr>
      </w:pPr>
      <w:r w:rsidRPr="00E51DAF">
        <w:rPr>
          <w:noProof/>
          <w:lang w:val="en-GB"/>
        </w:rPr>
        <w:t>PLEADINGS</w:t>
      </w:r>
      <w:r w:rsidRPr="00C34BDF">
        <w:rPr>
          <w:noProof/>
          <w:lang w:val="en-US"/>
        </w:rPr>
        <w:tab/>
      </w:r>
      <w:r>
        <w:rPr>
          <w:noProof/>
        </w:rPr>
        <w:fldChar w:fldCharType="begin"/>
      </w:r>
      <w:r w:rsidRPr="00C34BDF">
        <w:rPr>
          <w:noProof/>
          <w:lang w:val="en-US"/>
        </w:rPr>
        <w:instrText xml:space="preserve"> PAGEREF _Toc481400977 \h </w:instrText>
      </w:r>
      <w:r>
        <w:rPr>
          <w:noProof/>
        </w:rPr>
      </w:r>
      <w:r>
        <w:rPr>
          <w:noProof/>
        </w:rPr>
        <w:fldChar w:fldCharType="separate"/>
      </w:r>
      <w:r w:rsidRPr="00C34BDF">
        <w:rPr>
          <w:noProof/>
          <w:lang w:val="en-US"/>
        </w:rPr>
        <w:t>41</w:t>
      </w:r>
      <w:r>
        <w:rPr>
          <w:noProof/>
        </w:rPr>
        <w:fldChar w:fldCharType="end"/>
      </w:r>
    </w:p>
    <w:p w14:paraId="53F932AE" w14:textId="0B691F49" w:rsidR="00FA6861" w:rsidRPr="00AA64AE" w:rsidRDefault="00634453" w:rsidP="006A3F2A">
      <w:pPr>
        <w:pStyle w:val="Inhopg1"/>
        <w:rPr>
          <w:lang w:val="en-GB"/>
        </w:rPr>
      </w:pPr>
      <w:r>
        <w:rPr>
          <w:sz w:val="22"/>
          <w:szCs w:val="22"/>
          <w:lang w:val="en-GB"/>
        </w:rPr>
        <w:fldChar w:fldCharType="end"/>
      </w:r>
    </w:p>
    <w:p w14:paraId="4F066D22" w14:textId="449597C7" w:rsidR="00451616" w:rsidRPr="00A0053A" w:rsidRDefault="00451616" w:rsidP="006A3F2A">
      <w:pPr>
        <w:pStyle w:val="Inhopg2"/>
        <w:rPr>
          <w:lang w:val="en-US"/>
        </w:rPr>
      </w:pPr>
      <w:r w:rsidRPr="00A0053A">
        <w:rPr>
          <w:lang w:val="en-US"/>
        </w:rPr>
        <w:br w:type="page"/>
      </w:r>
    </w:p>
    <w:p w14:paraId="044E685D" w14:textId="47B9C505" w:rsidR="00451616" w:rsidRPr="00AA64AE" w:rsidRDefault="00451616" w:rsidP="00FA6861">
      <w:pPr>
        <w:pStyle w:val="Kop2"/>
        <w:rPr>
          <w:lang w:val="en-GB"/>
        </w:rPr>
      </w:pPr>
      <w:bookmarkStart w:id="4" w:name="_Toc480403675"/>
      <w:bookmarkStart w:id="5" w:name="_Toc480403817"/>
      <w:bookmarkStart w:id="6" w:name="_Toc481400971"/>
      <w:r w:rsidRPr="00AA64AE">
        <w:rPr>
          <w:lang w:val="en-GB"/>
        </w:rPr>
        <w:lastRenderedPageBreak/>
        <w:t>LIST OF REFERENCES TO LEGAL SOURCES AND DOCTRINE</w:t>
      </w:r>
      <w:bookmarkEnd w:id="4"/>
      <w:bookmarkEnd w:id="5"/>
      <w:bookmarkEnd w:id="6"/>
    </w:p>
    <w:p w14:paraId="5224E4BA" w14:textId="77777777" w:rsidR="008A2EE8" w:rsidRPr="00AA64AE" w:rsidRDefault="008A2EE8" w:rsidP="008A2EE8">
      <w:pPr>
        <w:pStyle w:val="Kop3"/>
        <w:numPr>
          <w:ilvl w:val="0"/>
          <w:numId w:val="0"/>
        </w:numPr>
      </w:pPr>
    </w:p>
    <w:p w14:paraId="59865F41" w14:textId="13455467" w:rsidR="00B47AE5" w:rsidRPr="00AA64AE" w:rsidRDefault="008A2EE8" w:rsidP="00B47AE5">
      <w:pPr>
        <w:pStyle w:val="Kop3"/>
      </w:pPr>
      <w:bookmarkStart w:id="7" w:name="_Toc480403676"/>
      <w:bookmarkStart w:id="8" w:name="_Toc480403818"/>
      <w:r w:rsidRPr="00AA64AE">
        <w:t>LEGISLATION</w:t>
      </w:r>
      <w:bookmarkEnd w:id="7"/>
      <w:bookmarkEnd w:id="8"/>
    </w:p>
    <w:p w14:paraId="4C18640F" w14:textId="77777777" w:rsidR="00B47AE5" w:rsidRPr="00AA64AE" w:rsidRDefault="00B47AE5" w:rsidP="00B47AE5">
      <w:pPr>
        <w:rPr>
          <w:lang w:val="en-GB"/>
        </w:rPr>
      </w:pPr>
    </w:p>
    <w:p w14:paraId="3173DD23" w14:textId="60160563" w:rsidR="00DF4EEA" w:rsidRDefault="00DF4EEA" w:rsidP="00B47AE5">
      <w:pPr>
        <w:pStyle w:val="Kop4"/>
      </w:pPr>
      <w:r>
        <w:t>hungarian legislation</w:t>
      </w:r>
    </w:p>
    <w:p w14:paraId="44F758CA" w14:textId="77777777" w:rsidR="00DF4EEA" w:rsidRDefault="00DF4EEA" w:rsidP="00DF4EEA">
      <w:pPr>
        <w:rPr>
          <w:lang w:val="en-GB"/>
        </w:rPr>
      </w:pPr>
    </w:p>
    <w:p w14:paraId="47D99629" w14:textId="70172BDF" w:rsidR="00DF4EEA" w:rsidRDefault="00317814" w:rsidP="00317814">
      <w:pPr>
        <w:pStyle w:val="Lijstalinea"/>
        <w:numPr>
          <w:ilvl w:val="0"/>
          <w:numId w:val="9"/>
        </w:numPr>
        <w:spacing w:line="360" w:lineRule="auto"/>
        <w:jc w:val="both"/>
        <w:rPr>
          <w:lang w:val="en-GB"/>
        </w:rPr>
      </w:pPr>
      <w:r>
        <w:rPr>
          <w:lang w:val="en-GB"/>
        </w:rPr>
        <w:t>Act I of 2012 on the Labour Code, adopted by the Parliament on 13 December 2011</w:t>
      </w:r>
    </w:p>
    <w:p w14:paraId="3265149A" w14:textId="5C1D1EF4" w:rsidR="00317814" w:rsidRDefault="00317814" w:rsidP="00317814">
      <w:pPr>
        <w:pStyle w:val="Lijstalinea"/>
        <w:numPr>
          <w:ilvl w:val="0"/>
          <w:numId w:val="9"/>
        </w:numPr>
        <w:spacing w:line="360" w:lineRule="auto"/>
        <w:jc w:val="both"/>
        <w:rPr>
          <w:lang w:val="en-GB"/>
        </w:rPr>
      </w:pPr>
      <w:r>
        <w:rPr>
          <w:lang w:val="en-GB"/>
        </w:rPr>
        <w:t>Act CXXV of 2003 on Equal Treatment and the Promotion of Equal Opportunities, adopted by the Parliament on 22 December 2003</w:t>
      </w:r>
    </w:p>
    <w:p w14:paraId="01626BA7" w14:textId="77777777" w:rsidR="00DF4EEA" w:rsidRPr="00DF4EEA" w:rsidRDefault="00DF4EEA" w:rsidP="00DF4EEA">
      <w:pPr>
        <w:rPr>
          <w:lang w:val="en-GB"/>
        </w:rPr>
      </w:pPr>
    </w:p>
    <w:p w14:paraId="6D365C78" w14:textId="0D9FFAE4" w:rsidR="00B47AE5" w:rsidRPr="00AA64AE" w:rsidRDefault="00B47AE5" w:rsidP="00B47AE5">
      <w:pPr>
        <w:pStyle w:val="Kop4"/>
      </w:pPr>
      <w:r w:rsidRPr="00AA64AE">
        <w:t>EU Legislation</w:t>
      </w:r>
    </w:p>
    <w:p w14:paraId="5EC383B1" w14:textId="77777777" w:rsidR="00B47AE5" w:rsidRPr="00AA64AE" w:rsidRDefault="00B47AE5" w:rsidP="00B47AE5">
      <w:pPr>
        <w:rPr>
          <w:lang w:val="en-GB"/>
        </w:rPr>
      </w:pPr>
    </w:p>
    <w:p w14:paraId="31C8EE23" w14:textId="38AF0361" w:rsidR="00F63CA5" w:rsidRPr="00AA64AE" w:rsidRDefault="00F63CA5" w:rsidP="00F63CA5">
      <w:pPr>
        <w:pStyle w:val="Lijstalinea"/>
        <w:numPr>
          <w:ilvl w:val="0"/>
          <w:numId w:val="9"/>
        </w:numPr>
        <w:spacing w:line="360" w:lineRule="auto"/>
        <w:jc w:val="both"/>
        <w:rPr>
          <w:lang w:val="en-GB"/>
        </w:rPr>
      </w:pPr>
      <w:r w:rsidRPr="00AA64AE">
        <w:rPr>
          <w:lang w:val="en-GB"/>
        </w:rPr>
        <w:t>Council D</w:t>
      </w:r>
      <w:r w:rsidR="004F50BE">
        <w:rPr>
          <w:lang w:val="en-GB"/>
        </w:rPr>
        <w:t>irective 2001/23/EC of 12.03.</w:t>
      </w:r>
      <w:r w:rsidRPr="00AA64AE">
        <w:rPr>
          <w:lang w:val="en-GB"/>
        </w:rPr>
        <w:t>2001 on the approximation of the laws of the Member States relating to the safeguarding of employees' rights in the event of transfers of undertakings, businesses or parts of undertakings or businesses</w:t>
      </w:r>
      <w:r w:rsidR="00BE2D71">
        <w:rPr>
          <w:lang w:val="en-GB"/>
        </w:rPr>
        <w:t xml:space="preserve"> (hereinafter “</w:t>
      </w:r>
      <w:r w:rsidR="00BE2D71" w:rsidRPr="00BE2D71">
        <w:rPr>
          <w:b/>
          <w:lang w:val="en-GB"/>
        </w:rPr>
        <w:t>2001/23 Directive</w:t>
      </w:r>
      <w:r w:rsidR="00BE2D71">
        <w:rPr>
          <w:lang w:val="en-GB"/>
        </w:rPr>
        <w:t>”)</w:t>
      </w:r>
      <w:r w:rsidR="00044C43">
        <w:rPr>
          <w:lang w:val="en-GB"/>
        </w:rPr>
        <w:t>, OJ L 82, 22.3.2001, p. 16–20</w:t>
      </w:r>
    </w:p>
    <w:p w14:paraId="437FDAAC" w14:textId="58F45716" w:rsidR="00B47AE5" w:rsidRDefault="00C709DC" w:rsidP="00B47AE5">
      <w:pPr>
        <w:pStyle w:val="Lijstalinea"/>
        <w:numPr>
          <w:ilvl w:val="0"/>
          <w:numId w:val="9"/>
        </w:numPr>
        <w:spacing w:line="360" w:lineRule="auto"/>
        <w:jc w:val="both"/>
        <w:rPr>
          <w:lang w:val="en-GB"/>
        </w:rPr>
      </w:pPr>
      <w:r w:rsidRPr="00AA64AE">
        <w:rPr>
          <w:lang w:val="en-GB"/>
        </w:rPr>
        <w:t>Council Directive 20</w:t>
      </w:r>
      <w:r w:rsidR="004F50BE">
        <w:rPr>
          <w:lang w:val="en-GB"/>
        </w:rPr>
        <w:t>00/78/EC of 27.11.</w:t>
      </w:r>
      <w:r w:rsidRPr="00AA64AE">
        <w:rPr>
          <w:lang w:val="en-GB"/>
        </w:rPr>
        <w:t>2000 establishing a general framework for equal treatment in employment and occupation</w:t>
      </w:r>
      <w:r w:rsidR="00593087">
        <w:rPr>
          <w:lang w:val="en-GB"/>
        </w:rPr>
        <w:t xml:space="preserve"> (hereinafter “</w:t>
      </w:r>
      <w:r w:rsidR="00593087" w:rsidRPr="00593087">
        <w:rPr>
          <w:b/>
          <w:lang w:val="en-GB"/>
        </w:rPr>
        <w:t>2000/78 Directive</w:t>
      </w:r>
      <w:r w:rsidR="00593087">
        <w:rPr>
          <w:lang w:val="en-GB"/>
        </w:rPr>
        <w:t>”)</w:t>
      </w:r>
      <w:r w:rsidRPr="00AA64AE">
        <w:rPr>
          <w:lang w:val="en-GB"/>
        </w:rPr>
        <w:t>,</w:t>
      </w:r>
      <w:r w:rsidR="00044C43">
        <w:rPr>
          <w:lang w:val="en-GB"/>
        </w:rPr>
        <w:t xml:space="preserve"> OJ L 303, 2.12.2000, p. 16–22</w:t>
      </w:r>
    </w:p>
    <w:p w14:paraId="3DF0657A" w14:textId="12B560E7" w:rsidR="007B6E76" w:rsidRPr="007B6E76" w:rsidRDefault="007B6E76" w:rsidP="007B6E76">
      <w:pPr>
        <w:pStyle w:val="Lijstalinea"/>
        <w:numPr>
          <w:ilvl w:val="0"/>
          <w:numId w:val="9"/>
        </w:numPr>
        <w:spacing w:line="360" w:lineRule="auto"/>
        <w:jc w:val="both"/>
        <w:rPr>
          <w:lang w:val="en-GB"/>
        </w:rPr>
      </w:pPr>
      <w:r w:rsidRPr="007B6E76">
        <w:rPr>
          <w:lang w:val="en-GB"/>
        </w:rPr>
        <w:t>Communication from the Commission to the European Parliament, the Council, the European Economic and Social Committee and the Committee of the Regions “Investing in Europ</w:t>
      </w:r>
      <w:r>
        <w:rPr>
          <w:lang w:val="en-GB"/>
        </w:rPr>
        <w:t>e</w:t>
      </w:r>
      <w:r w:rsidR="00044C43">
        <w:rPr>
          <w:lang w:val="en-GB"/>
        </w:rPr>
        <w:t>’s Youth”, Brussels, 7.12.2016</w:t>
      </w:r>
    </w:p>
    <w:p w14:paraId="572020C3" w14:textId="77777777" w:rsidR="00B75920" w:rsidRPr="00AA64AE" w:rsidRDefault="00B75920" w:rsidP="00B75920">
      <w:pPr>
        <w:pStyle w:val="Lijstalinea"/>
        <w:spacing w:line="360" w:lineRule="auto"/>
        <w:ind w:left="1440"/>
        <w:jc w:val="both"/>
        <w:rPr>
          <w:lang w:val="en-GB"/>
        </w:rPr>
      </w:pPr>
    </w:p>
    <w:p w14:paraId="7A0C0091" w14:textId="39DD38E6" w:rsidR="00B75920" w:rsidRDefault="00B75920" w:rsidP="00B75920">
      <w:pPr>
        <w:pStyle w:val="Kop4"/>
      </w:pPr>
      <w:r w:rsidRPr="00AA64AE">
        <w:t>ILO LEGISLATION</w:t>
      </w:r>
    </w:p>
    <w:p w14:paraId="3C09DCA0" w14:textId="77777777" w:rsidR="007D7EE7" w:rsidRPr="007D7EE7" w:rsidRDefault="007D7EE7" w:rsidP="007D7EE7">
      <w:pPr>
        <w:rPr>
          <w:lang w:val="en-GB"/>
        </w:rPr>
      </w:pPr>
    </w:p>
    <w:p w14:paraId="0695BF6C" w14:textId="3B77EBE5" w:rsidR="00B75920" w:rsidRPr="00AA64AE" w:rsidRDefault="00B75920" w:rsidP="00B75920">
      <w:pPr>
        <w:pStyle w:val="Lijstalinea"/>
        <w:numPr>
          <w:ilvl w:val="0"/>
          <w:numId w:val="9"/>
        </w:numPr>
        <w:spacing w:line="360" w:lineRule="auto"/>
        <w:jc w:val="both"/>
        <w:rPr>
          <w:lang w:val="en-GB"/>
        </w:rPr>
      </w:pPr>
      <w:r w:rsidRPr="00AA64AE">
        <w:rPr>
          <w:lang w:val="en-GB"/>
        </w:rPr>
        <w:t>R198 - Employment Relationship Recommendation, 2006 (No. 198) – Recommendation concerning the employment relationship adopted in G</w:t>
      </w:r>
      <w:r w:rsidR="004F50BE">
        <w:rPr>
          <w:lang w:val="en-GB"/>
        </w:rPr>
        <w:t xml:space="preserve">eneva, 95th ILC session </w:t>
      </w:r>
      <w:r w:rsidR="00BD2301">
        <w:rPr>
          <w:lang w:val="en-GB"/>
        </w:rPr>
        <w:t>(hereinafter “</w:t>
      </w:r>
      <w:r w:rsidR="00BD2301" w:rsidRPr="00BD2301">
        <w:rPr>
          <w:b/>
          <w:lang w:val="en-GB"/>
        </w:rPr>
        <w:t>ILO 198 Recommendation</w:t>
      </w:r>
      <w:r w:rsidR="00BD2301">
        <w:rPr>
          <w:lang w:val="en-GB"/>
        </w:rPr>
        <w:t>”)</w:t>
      </w:r>
    </w:p>
    <w:p w14:paraId="4D68AB48" w14:textId="77777777" w:rsidR="00B47AE5" w:rsidRPr="00AA64AE" w:rsidRDefault="00B47AE5" w:rsidP="00B47AE5">
      <w:pPr>
        <w:rPr>
          <w:lang w:val="en-GB"/>
        </w:rPr>
      </w:pPr>
    </w:p>
    <w:p w14:paraId="09828530" w14:textId="339810DF" w:rsidR="00531117" w:rsidRDefault="007E63EA" w:rsidP="007E63EA">
      <w:pPr>
        <w:pStyle w:val="Kop3"/>
      </w:pPr>
      <w:bookmarkStart w:id="9" w:name="_Toc480403677"/>
      <w:bookmarkStart w:id="10" w:name="_Toc480403819"/>
      <w:r w:rsidRPr="00AA64AE">
        <w:t>LITERATURE</w:t>
      </w:r>
      <w:bookmarkEnd w:id="9"/>
      <w:bookmarkEnd w:id="10"/>
    </w:p>
    <w:p w14:paraId="5A3C6BAA" w14:textId="77777777" w:rsidR="00B574FD" w:rsidRDefault="00B574FD" w:rsidP="00B574FD">
      <w:pPr>
        <w:rPr>
          <w:lang w:val="en-GB"/>
        </w:rPr>
      </w:pPr>
    </w:p>
    <w:p w14:paraId="5AFB4EC5" w14:textId="128BB73C" w:rsidR="00B574FD" w:rsidRPr="00B574FD" w:rsidRDefault="00B574FD" w:rsidP="00B574FD">
      <w:pPr>
        <w:pStyle w:val="Kop4"/>
      </w:pPr>
      <w:r>
        <w:t>books</w:t>
      </w:r>
    </w:p>
    <w:p w14:paraId="4277B1B0" w14:textId="77777777" w:rsidR="00A623E6" w:rsidRPr="00AA64AE" w:rsidRDefault="00A623E6" w:rsidP="00A623E6">
      <w:pPr>
        <w:rPr>
          <w:lang w:val="en-GB"/>
        </w:rPr>
      </w:pPr>
    </w:p>
    <w:p w14:paraId="3BA4DBD2" w14:textId="0231394B" w:rsidR="00AF6645" w:rsidRPr="00896CAA" w:rsidRDefault="00AF6645" w:rsidP="00AF6645">
      <w:pPr>
        <w:pStyle w:val="Voetnoottekst"/>
        <w:numPr>
          <w:ilvl w:val="0"/>
          <w:numId w:val="9"/>
        </w:numPr>
        <w:spacing w:line="360" w:lineRule="auto"/>
        <w:ind w:left="1434" w:hanging="357"/>
        <w:jc w:val="both"/>
        <w:rPr>
          <w:sz w:val="22"/>
          <w:szCs w:val="22"/>
          <w:lang w:val="en-US"/>
        </w:rPr>
      </w:pPr>
      <w:r w:rsidRPr="00896CAA">
        <w:rPr>
          <w:lang w:val="en-GB"/>
        </w:rPr>
        <w:lastRenderedPageBreak/>
        <w:t xml:space="preserve">Ellis, Evelyn and Watson, Philippa, </w:t>
      </w:r>
      <w:r w:rsidRPr="00647332">
        <w:rPr>
          <w:i/>
          <w:lang w:val="en-GB"/>
        </w:rPr>
        <w:t>EU Anti-Discrimination Law</w:t>
      </w:r>
      <w:r w:rsidR="00044C43">
        <w:rPr>
          <w:lang w:val="en-GB"/>
        </w:rPr>
        <w:t>, Oxford University Press 2014.</w:t>
      </w:r>
    </w:p>
    <w:p w14:paraId="04E881FC" w14:textId="6C2C7FD7" w:rsidR="00A623E6" w:rsidRDefault="00A623E6" w:rsidP="00A623E6">
      <w:pPr>
        <w:pStyle w:val="Lijstalinea"/>
        <w:numPr>
          <w:ilvl w:val="0"/>
          <w:numId w:val="9"/>
        </w:numPr>
        <w:spacing w:line="360" w:lineRule="auto"/>
        <w:jc w:val="both"/>
        <w:rPr>
          <w:lang w:val="en-GB"/>
        </w:rPr>
      </w:pPr>
      <w:r w:rsidRPr="00AA64AE">
        <w:rPr>
          <w:lang w:val="en-GB"/>
        </w:rPr>
        <w:t xml:space="preserve">Ghosheh, Naj, </w:t>
      </w:r>
      <w:r w:rsidRPr="00AA64AE">
        <w:rPr>
          <w:i/>
          <w:lang w:val="en-GB"/>
        </w:rPr>
        <w:t>Age discrimination and older workers: Theory and legislation in comparative context</w:t>
      </w:r>
      <w:r w:rsidRPr="00AA64AE">
        <w:rPr>
          <w:lang w:val="en-GB"/>
        </w:rPr>
        <w:t>, Internat</w:t>
      </w:r>
      <w:r w:rsidR="00044C43">
        <w:rPr>
          <w:lang w:val="en-GB"/>
        </w:rPr>
        <w:t>ional Labour Organization 2008.</w:t>
      </w:r>
    </w:p>
    <w:p w14:paraId="6F3F780D" w14:textId="4BF409E5" w:rsidR="004713AA" w:rsidRDefault="004713AA" w:rsidP="00044C43">
      <w:pPr>
        <w:pStyle w:val="Lijstalinea"/>
        <w:numPr>
          <w:ilvl w:val="0"/>
          <w:numId w:val="9"/>
        </w:numPr>
        <w:spacing w:line="360" w:lineRule="auto"/>
        <w:jc w:val="both"/>
        <w:rPr>
          <w:lang w:val="en-GB"/>
        </w:rPr>
      </w:pPr>
      <w:r w:rsidRPr="004713AA">
        <w:rPr>
          <w:lang w:val="en-GB"/>
        </w:rPr>
        <w:t xml:space="preserve">O’Cinneide, Colm, </w:t>
      </w:r>
      <w:r w:rsidRPr="004713AA">
        <w:rPr>
          <w:i/>
          <w:lang w:val="en-GB"/>
        </w:rPr>
        <w:t>Age discrimination and European Law</w:t>
      </w:r>
      <w:r w:rsidRPr="004713AA">
        <w:rPr>
          <w:lang w:val="en-GB"/>
        </w:rPr>
        <w:t>, European Commission 2005</w:t>
      </w:r>
      <w:r w:rsidR="00044C43">
        <w:rPr>
          <w:lang w:val="en-GB"/>
        </w:rPr>
        <w:t>.</w:t>
      </w:r>
    </w:p>
    <w:p w14:paraId="42538131" w14:textId="36D90655" w:rsidR="00A95F78" w:rsidRDefault="00A95F78" w:rsidP="00044C43">
      <w:pPr>
        <w:pStyle w:val="Bezodstpw1"/>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Pisarczyk Łukasz</w:t>
      </w:r>
      <w:r w:rsidRPr="0009418A">
        <w:rPr>
          <w:rFonts w:ascii="Times New Roman" w:hAnsi="Times New Roman" w:cs="Times New Roman"/>
          <w:sz w:val="24"/>
          <w:szCs w:val="24"/>
        </w:rPr>
        <w:t>,</w:t>
      </w:r>
      <w:r w:rsidRPr="0009418A">
        <w:rPr>
          <w:rFonts w:ascii="Times New Roman" w:hAnsi="Times New Roman" w:cs="Times New Roman"/>
          <w:i/>
          <w:sz w:val="24"/>
          <w:szCs w:val="24"/>
        </w:rPr>
        <w:t xml:space="preserve"> Przejście zakładu pracy na innego pracodawcę, </w:t>
      </w:r>
      <w:r w:rsidRPr="0009418A">
        <w:rPr>
          <w:rFonts w:ascii="Times New Roman" w:hAnsi="Times New Roman" w:cs="Times New Roman"/>
          <w:sz w:val="24"/>
          <w:szCs w:val="24"/>
        </w:rPr>
        <w:t>Warsaw 2013.</w:t>
      </w:r>
    </w:p>
    <w:p w14:paraId="01F92AA0" w14:textId="5DB4E01D" w:rsidR="00A95F78" w:rsidRPr="00A95F78" w:rsidRDefault="00A95F78" w:rsidP="00044C43">
      <w:pPr>
        <w:pStyle w:val="Bezodstpw1"/>
        <w:numPr>
          <w:ilvl w:val="0"/>
          <w:numId w:val="9"/>
        </w:numPr>
        <w:spacing w:line="360" w:lineRule="auto"/>
        <w:jc w:val="both"/>
        <w:rPr>
          <w:rFonts w:ascii="Times New Roman" w:hAnsi="Times New Roman" w:cs="Times New Roman"/>
          <w:sz w:val="24"/>
          <w:szCs w:val="24"/>
          <w:lang w:val="en-GB"/>
        </w:rPr>
      </w:pPr>
      <w:r w:rsidRPr="00544DEB">
        <w:rPr>
          <w:rFonts w:ascii="Times New Roman" w:hAnsi="Times New Roman" w:cs="Times New Roman"/>
          <w:sz w:val="24"/>
          <w:szCs w:val="24"/>
          <w:lang w:val="en-GB"/>
        </w:rPr>
        <w:t>T</w:t>
      </w:r>
      <w:r w:rsidRPr="00A95F78">
        <w:rPr>
          <w:rFonts w:ascii="Times New Roman" w:hAnsi="Times New Roman" w:cs="Times New Roman"/>
          <w:sz w:val="24"/>
          <w:szCs w:val="24"/>
          <w:lang w:val="en-GB"/>
        </w:rPr>
        <w:t>h</w:t>
      </w:r>
      <w:r w:rsidRPr="00044C43">
        <w:rPr>
          <w:rFonts w:ascii="Times New Roman" w:hAnsi="Times New Roman" w:cs="Times New Roman"/>
          <w:iCs/>
          <w:sz w:val="24"/>
          <w:szCs w:val="24"/>
          <w:lang w:val="en-US"/>
        </w:rPr>
        <w:t>ü</w:t>
      </w:r>
      <w:r w:rsidRPr="00044C43">
        <w:rPr>
          <w:rFonts w:ascii="Times New Roman" w:hAnsi="Times New Roman" w:cs="Times New Roman"/>
          <w:sz w:val="24"/>
          <w:szCs w:val="24"/>
          <w:lang w:val="en-US"/>
        </w:rPr>
        <w:t>sin</w:t>
      </w:r>
      <w:r w:rsidRPr="00A95F78">
        <w:rPr>
          <w:rFonts w:ascii="Times New Roman" w:hAnsi="Times New Roman" w:cs="Times New Roman"/>
          <w:sz w:val="24"/>
          <w:szCs w:val="24"/>
          <w:lang w:val="en-GB"/>
        </w:rPr>
        <w:t>g</w:t>
      </w:r>
      <w:r>
        <w:rPr>
          <w:rFonts w:ascii="Times New Roman" w:hAnsi="Times New Roman" w:cs="Times New Roman"/>
          <w:sz w:val="24"/>
          <w:szCs w:val="24"/>
          <w:lang w:val="en-GB"/>
        </w:rPr>
        <w:t xml:space="preserve"> Gregor</w:t>
      </w:r>
      <w:r w:rsidRPr="00544DEB">
        <w:rPr>
          <w:rFonts w:ascii="Times New Roman" w:hAnsi="Times New Roman" w:cs="Times New Roman"/>
          <w:sz w:val="24"/>
          <w:szCs w:val="24"/>
          <w:lang w:val="en-GB"/>
        </w:rPr>
        <w:t xml:space="preserve">, </w:t>
      </w:r>
      <w:r w:rsidRPr="00544DEB">
        <w:rPr>
          <w:rFonts w:ascii="Times New Roman" w:hAnsi="Times New Roman" w:cs="Times New Roman"/>
          <w:i/>
          <w:iCs/>
          <w:sz w:val="24"/>
          <w:szCs w:val="24"/>
          <w:lang w:val="en-GB"/>
        </w:rPr>
        <w:t>European Labour Law</w:t>
      </w:r>
      <w:r w:rsidRPr="00544DEB">
        <w:rPr>
          <w:rFonts w:ascii="Times New Roman" w:hAnsi="Times New Roman" w:cs="Times New Roman"/>
          <w:sz w:val="24"/>
          <w:szCs w:val="24"/>
          <w:lang w:val="en-GB"/>
        </w:rPr>
        <w:t>, M</w:t>
      </w:r>
      <w:r w:rsidRPr="00506391">
        <w:rPr>
          <w:rStyle w:val="Nadruk"/>
          <w:rFonts w:ascii="Times New Roman" w:hAnsi="Times New Roman" w:cs="Times New Roman"/>
          <w:i w:val="0"/>
          <w:sz w:val="24"/>
          <w:szCs w:val="24"/>
          <w:lang w:val="en-GB"/>
        </w:rPr>
        <w:t>ü</w:t>
      </w:r>
      <w:r w:rsidRPr="00544DEB">
        <w:rPr>
          <w:rFonts w:ascii="Times New Roman" w:hAnsi="Times New Roman" w:cs="Times New Roman"/>
          <w:sz w:val="24"/>
          <w:szCs w:val="24"/>
          <w:lang w:val="en-GB"/>
        </w:rPr>
        <w:t>nchen 2013.</w:t>
      </w:r>
    </w:p>
    <w:p w14:paraId="6F81D04B" w14:textId="501AD120" w:rsidR="00A623E6" w:rsidRDefault="00E348AF" w:rsidP="00044C43">
      <w:pPr>
        <w:pStyle w:val="Lijstalinea"/>
        <w:numPr>
          <w:ilvl w:val="0"/>
          <w:numId w:val="9"/>
        </w:numPr>
        <w:spacing w:line="360" w:lineRule="auto"/>
        <w:jc w:val="both"/>
        <w:rPr>
          <w:lang w:val="en-GB"/>
        </w:rPr>
      </w:pPr>
      <w:r>
        <w:rPr>
          <w:lang w:val="en-GB"/>
        </w:rPr>
        <w:t xml:space="preserve">Waddington, Lisa and Bell, Mark, </w:t>
      </w:r>
      <w:r w:rsidRPr="00E348AF">
        <w:rPr>
          <w:i/>
          <w:lang w:val="en-GB" w:eastAsia="en-US"/>
        </w:rPr>
        <w:t>More equal than others: distinguishing European Union Equality D</w:t>
      </w:r>
      <w:r w:rsidRPr="00E348AF">
        <w:rPr>
          <w:i/>
          <w:lang w:val="en-GB"/>
        </w:rPr>
        <w:t>irectives</w:t>
      </w:r>
      <w:r w:rsidRPr="00E348AF">
        <w:rPr>
          <w:lang w:val="en-GB" w:eastAsia="en-US"/>
        </w:rPr>
        <w:t>,</w:t>
      </w:r>
      <w:r w:rsidR="00044C43">
        <w:rPr>
          <w:lang w:val="en-GB" w:eastAsia="en-US"/>
        </w:rPr>
        <w:t xml:space="preserve"> Common Market Law Review 2001.</w:t>
      </w:r>
    </w:p>
    <w:p w14:paraId="6C0164EF" w14:textId="3774513A" w:rsidR="00A073D2" w:rsidRDefault="00A073D2" w:rsidP="00347662">
      <w:pPr>
        <w:pStyle w:val="Lijstalinea"/>
        <w:numPr>
          <w:ilvl w:val="0"/>
          <w:numId w:val="9"/>
        </w:numPr>
        <w:spacing w:line="360" w:lineRule="auto"/>
        <w:jc w:val="both"/>
        <w:rPr>
          <w:lang w:val="en-GB"/>
        </w:rPr>
      </w:pPr>
      <w:r w:rsidRPr="001C0EF1">
        <w:rPr>
          <w:i/>
          <w:lang w:val="en-GB"/>
        </w:rPr>
        <w:t>Handbook on European non-discrimination law</w:t>
      </w:r>
      <w:r w:rsidRPr="00A073D2">
        <w:rPr>
          <w:lang w:val="en-GB"/>
        </w:rPr>
        <w:t xml:space="preserve">, </w:t>
      </w:r>
      <w:r w:rsidR="00CD330D">
        <w:rPr>
          <w:lang w:val="en-GB"/>
        </w:rPr>
        <w:t>Publications Office of the European Union 2011</w:t>
      </w:r>
      <w:r w:rsidR="00044C43">
        <w:rPr>
          <w:lang w:val="en-GB"/>
        </w:rPr>
        <w:t>.</w:t>
      </w:r>
    </w:p>
    <w:p w14:paraId="7AA158FF" w14:textId="77777777" w:rsidR="00B574FD" w:rsidRDefault="00B574FD" w:rsidP="00B574FD">
      <w:pPr>
        <w:pStyle w:val="Lijstalinea"/>
        <w:spacing w:line="360" w:lineRule="auto"/>
        <w:ind w:left="1440"/>
        <w:jc w:val="both"/>
        <w:rPr>
          <w:lang w:val="en-GB"/>
        </w:rPr>
      </w:pPr>
    </w:p>
    <w:p w14:paraId="2874ADD1" w14:textId="5DEBB373" w:rsidR="00E348AF" w:rsidRDefault="00B574FD" w:rsidP="00B574FD">
      <w:pPr>
        <w:pStyle w:val="Kop4"/>
      </w:pPr>
      <w:r>
        <w:t>articles and reports</w:t>
      </w:r>
    </w:p>
    <w:p w14:paraId="5E97F748" w14:textId="77777777" w:rsidR="002A48AE" w:rsidRPr="002A48AE" w:rsidRDefault="002A48AE" w:rsidP="002A48AE">
      <w:pPr>
        <w:pStyle w:val="Lijstalinea"/>
        <w:spacing w:line="360" w:lineRule="auto"/>
        <w:ind w:left="1440"/>
        <w:jc w:val="both"/>
        <w:rPr>
          <w:lang w:val="en-GB"/>
        </w:rPr>
      </w:pPr>
    </w:p>
    <w:p w14:paraId="7FD52B80" w14:textId="62AC351B" w:rsidR="00077617" w:rsidRPr="00077617" w:rsidRDefault="00077617" w:rsidP="00077617">
      <w:pPr>
        <w:pStyle w:val="Lijstalinea"/>
        <w:numPr>
          <w:ilvl w:val="0"/>
          <w:numId w:val="9"/>
        </w:numPr>
        <w:spacing w:line="360" w:lineRule="auto"/>
        <w:jc w:val="both"/>
        <w:rPr>
          <w:lang w:val="en-US"/>
        </w:rPr>
      </w:pPr>
      <w:r w:rsidRPr="00077617">
        <w:rPr>
          <w:bCs/>
          <w:lang w:val="en-US"/>
        </w:rPr>
        <w:t xml:space="preserve">Foreign language skills statistics, Eurostat data, October 2015, </w:t>
      </w:r>
      <w:hyperlink r:id="rId8" w:history="1">
        <w:r w:rsidRPr="00077617">
          <w:rPr>
            <w:rStyle w:val="Hyperlink"/>
            <w:bCs/>
            <w:lang w:val="en-US"/>
          </w:rPr>
          <w:t>http://ec.europa.eu/eurostat/statistics-explained/index.php/Foreign_language_skills_statistics</w:t>
        </w:r>
      </w:hyperlink>
    </w:p>
    <w:p w14:paraId="6D1A2FCC" w14:textId="1A0ABB11" w:rsidR="00077617" w:rsidRPr="00077617" w:rsidRDefault="00077617" w:rsidP="00077617">
      <w:pPr>
        <w:pStyle w:val="Lijstalinea"/>
        <w:numPr>
          <w:ilvl w:val="0"/>
          <w:numId w:val="9"/>
        </w:numPr>
        <w:spacing w:line="360" w:lineRule="auto"/>
        <w:jc w:val="both"/>
        <w:rPr>
          <w:lang w:val="en-US"/>
        </w:rPr>
      </w:pPr>
      <w:r w:rsidRPr="00077617">
        <w:rPr>
          <w:lang w:val="en-US"/>
        </w:rPr>
        <w:t>Health and Safety Needs for Older Workers</w:t>
      </w:r>
      <w:r w:rsidR="00A40DF4">
        <w:rPr>
          <w:lang w:val="en-US"/>
        </w:rPr>
        <w:t xml:space="preserve">, National Research Council and Institute of Medicine </w:t>
      </w:r>
      <w:r w:rsidRPr="00077617">
        <w:rPr>
          <w:lang w:val="en-US"/>
        </w:rPr>
        <w:t>Committee on the Health and Safety Needs of Older Workers; Wegman DH, Mc</w:t>
      </w:r>
      <w:r w:rsidR="00A40DF4">
        <w:rPr>
          <w:lang w:val="en-US"/>
        </w:rPr>
        <w:t>Gee JP, editors. Washington: National Academies Press</w:t>
      </w:r>
      <w:r w:rsidRPr="00077617">
        <w:rPr>
          <w:lang w:val="en-US"/>
        </w:rPr>
        <w:t>; 2004</w:t>
      </w:r>
    </w:p>
    <w:p w14:paraId="565AC997" w14:textId="6F7E9E3E" w:rsidR="00077617" w:rsidRPr="00077617" w:rsidRDefault="00077617" w:rsidP="00077617">
      <w:pPr>
        <w:pStyle w:val="Lijstalinea"/>
        <w:numPr>
          <w:ilvl w:val="0"/>
          <w:numId w:val="9"/>
        </w:numPr>
        <w:spacing w:line="360" w:lineRule="auto"/>
        <w:jc w:val="both"/>
        <w:rPr>
          <w:lang w:val="en-US"/>
        </w:rPr>
      </w:pPr>
      <w:r w:rsidRPr="00077617">
        <w:rPr>
          <w:lang w:val="en-US"/>
        </w:rPr>
        <w:t xml:space="preserve">Tourism in Hungary 2016 Report, Hungarian Tourism Agency, </w:t>
      </w:r>
      <w:hyperlink r:id="rId9" w:history="1">
        <w:r w:rsidRPr="00077617">
          <w:rPr>
            <w:rStyle w:val="Hyperlink"/>
            <w:lang w:val="en-US"/>
          </w:rPr>
          <w:t>http://szakmai.itthon.hu/documents/28123/4083489/MTE_4001_105x210_LA4_StatElozetes_2016_ENG_NEW.pdf/db033798-0c79-4c38-8d7a-38c44a72c45f</w:t>
        </w:r>
      </w:hyperlink>
    </w:p>
    <w:p w14:paraId="62FDCC94" w14:textId="23DE3454" w:rsidR="00B574FD" w:rsidRPr="00077617" w:rsidRDefault="00B574FD" w:rsidP="00B574FD">
      <w:pPr>
        <w:pStyle w:val="Lijstalinea"/>
        <w:numPr>
          <w:ilvl w:val="0"/>
          <w:numId w:val="9"/>
        </w:numPr>
        <w:spacing w:line="360" w:lineRule="auto"/>
        <w:jc w:val="both"/>
        <w:rPr>
          <w:lang w:val="en-US"/>
        </w:rPr>
      </w:pPr>
      <w:r w:rsidRPr="00077617">
        <w:rPr>
          <w:lang w:val="en-US"/>
        </w:rPr>
        <w:t xml:space="preserve">Devlin, Kate, </w:t>
      </w:r>
      <w:r w:rsidRPr="00077617">
        <w:rPr>
          <w:i/>
          <w:lang w:val="en-US"/>
        </w:rPr>
        <w:t>Humans ‘naturally prefer pretty people’</w:t>
      </w:r>
      <w:r w:rsidRPr="00077617">
        <w:rPr>
          <w:lang w:val="en-US"/>
        </w:rPr>
        <w:t xml:space="preserve">, 13.08.2008, </w:t>
      </w:r>
      <w:hyperlink r:id="rId10" w:history="1">
        <w:r w:rsidRPr="00077617">
          <w:rPr>
            <w:rStyle w:val="Hyperlink"/>
            <w:lang w:val="en-US"/>
          </w:rPr>
          <w:t>http://www.telegraph.co.uk/news/uknews/2551882/Humans-naturally-prefer-pretty-people.html</w:t>
        </w:r>
      </w:hyperlink>
    </w:p>
    <w:p w14:paraId="179785CF" w14:textId="4779ED66" w:rsidR="00B574FD" w:rsidRPr="00077617" w:rsidRDefault="00B574FD" w:rsidP="00B574FD">
      <w:pPr>
        <w:pStyle w:val="Lijstalinea"/>
        <w:numPr>
          <w:ilvl w:val="0"/>
          <w:numId w:val="9"/>
        </w:numPr>
        <w:spacing w:line="360" w:lineRule="auto"/>
        <w:jc w:val="both"/>
        <w:rPr>
          <w:lang w:val="en-GB"/>
        </w:rPr>
      </w:pPr>
      <w:r w:rsidRPr="00077617">
        <w:rPr>
          <w:lang w:val="en-US"/>
        </w:rPr>
        <w:t xml:space="preserve">Feingold, Alan, </w:t>
      </w:r>
      <w:r w:rsidRPr="00077617">
        <w:rPr>
          <w:i/>
          <w:lang w:val="en-US"/>
        </w:rPr>
        <w:t>Good-looking people are not what we think</w:t>
      </w:r>
      <w:r w:rsidRPr="00077617">
        <w:rPr>
          <w:lang w:val="en-US"/>
        </w:rPr>
        <w:t xml:space="preserve">, Psychological </w:t>
      </w:r>
      <w:r w:rsidR="00044C43">
        <w:rPr>
          <w:lang w:val="en-US"/>
        </w:rPr>
        <w:t>Bulletin, Vol 111(2), Mar 1992</w:t>
      </w:r>
    </w:p>
    <w:p w14:paraId="1E685ED7" w14:textId="50D35EAA" w:rsidR="00B574FD" w:rsidRPr="00077617" w:rsidRDefault="00B574FD" w:rsidP="00B574FD">
      <w:pPr>
        <w:pStyle w:val="Lijstalinea"/>
        <w:numPr>
          <w:ilvl w:val="0"/>
          <w:numId w:val="9"/>
        </w:numPr>
        <w:spacing w:line="360" w:lineRule="auto"/>
        <w:jc w:val="both"/>
        <w:rPr>
          <w:lang w:val="en-US"/>
        </w:rPr>
      </w:pPr>
      <w:r w:rsidRPr="00077617">
        <w:rPr>
          <w:lang w:val="en-US"/>
        </w:rPr>
        <w:lastRenderedPageBreak/>
        <w:t xml:space="preserve">Williams, Ray, </w:t>
      </w:r>
      <w:r w:rsidRPr="00077617">
        <w:rPr>
          <w:i/>
          <w:lang w:val="en-US"/>
        </w:rPr>
        <w:t>Why we pay more attention to beautiful people</w:t>
      </w:r>
      <w:r w:rsidRPr="00077617">
        <w:rPr>
          <w:lang w:val="en-US"/>
        </w:rPr>
        <w:t xml:space="preserve">, 06.08.2011, </w:t>
      </w:r>
      <w:hyperlink r:id="rId11" w:history="1">
        <w:r w:rsidRPr="00077617">
          <w:rPr>
            <w:rStyle w:val="Hyperlink"/>
            <w:lang w:val="en-US"/>
          </w:rPr>
          <w:t>https://www.psychologytoday.com/blog/wired-success/201108/why-we-pay-more-attention-beautiful-people</w:t>
        </w:r>
      </w:hyperlink>
    </w:p>
    <w:p w14:paraId="365028D5" w14:textId="77777777" w:rsidR="00B574FD" w:rsidRPr="00B574FD" w:rsidRDefault="00B574FD" w:rsidP="0034664D">
      <w:pPr>
        <w:pStyle w:val="Lijstalinea"/>
        <w:spacing w:line="360" w:lineRule="auto"/>
        <w:ind w:left="1440"/>
        <w:jc w:val="both"/>
        <w:rPr>
          <w:lang w:val="en-GB"/>
        </w:rPr>
      </w:pPr>
    </w:p>
    <w:p w14:paraId="2D86B337" w14:textId="4397C607" w:rsidR="007E63EA" w:rsidRPr="00AA64AE" w:rsidRDefault="007E63EA" w:rsidP="007E63EA">
      <w:pPr>
        <w:pStyle w:val="Kop3"/>
      </w:pPr>
      <w:bookmarkStart w:id="11" w:name="_Toc480403678"/>
      <w:bookmarkStart w:id="12" w:name="_Toc480403820"/>
      <w:r w:rsidRPr="00AA64AE">
        <w:t>CASE-LAW</w:t>
      </w:r>
      <w:bookmarkEnd w:id="11"/>
      <w:bookmarkEnd w:id="12"/>
    </w:p>
    <w:p w14:paraId="29654A6B" w14:textId="77777777" w:rsidR="00A96094" w:rsidRPr="00AA64AE" w:rsidRDefault="00A96094" w:rsidP="00A96094">
      <w:pPr>
        <w:rPr>
          <w:lang w:val="en-GB"/>
        </w:rPr>
      </w:pPr>
    </w:p>
    <w:p w14:paraId="2DE4B833" w14:textId="3A7B4163" w:rsidR="00A96094" w:rsidRPr="00AA64AE" w:rsidRDefault="00A96094" w:rsidP="00A96094">
      <w:pPr>
        <w:pStyle w:val="Kop4"/>
      </w:pPr>
      <w:r w:rsidRPr="00AA64AE">
        <w:t>CJEU CASE-LAW</w:t>
      </w:r>
    </w:p>
    <w:p w14:paraId="39DB697F" w14:textId="77777777" w:rsidR="00C5541A" w:rsidRPr="00AA64AE" w:rsidRDefault="00C5541A" w:rsidP="00C5541A">
      <w:pPr>
        <w:rPr>
          <w:lang w:val="en-GB"/>
        </w:rPr>
      </w:pPr>
    </w:p>
    <w:p w14:paraId="6E369EB3" w14:textId="542A02A6" w:rsidR="00B03729" w:rsidRPr="00AA64AE" w:rsidRDefault="00B03729" w:rsidP="00B03729">
      <w:pPr>
        <w:pStyle w:val="Lijstalinea"/>
        <w:numPr>
          <w:ilvl w:val="0"/>
          <w:numId w:val="9"/>
        </w:numPr>
        <w:spacing w:line="360" w:lineRule="auto"/>
        <w:jc w:val="both"/>
        <w:rPr>
          <w:lang w:val="en-GB"/>
        </w:rPr>
      </w:pPr>
      <w:r w:rsidRPr="00AA64AE">
        <w:rPr>
          <w:lang w:val="en-GB"/>
        </w:rPr>
        <w:t>Case 24/85, Jozef Maria Antonius Spijkers v Gebroeders Benedik Abattoir CV and Alfred Benedik en Zonen BV, 18</w:t>
      </w:r>
      <w:r w:rsidR="00592EA7">
        <w:rPr>
          <w:lang w:val="en-GB"/>
        </w:rPr>
        <w:t>.3.1986, European Court Reports/1986/</w:t>
      </w:r>
      <w:r w:rsidR="00044C43">
        <w:rPr>
          <w:lang w:val="en-GB"/>
        </w:rPr>
        <w:t>01119</w:t>
      </w:r>
    </w:p>
    <w:p w14:paraId="7457EA2A" w14:textId="28A49983" w:rsidR="00DE2ED6" w:rsidRPr="00AA64AE" w:rsidRDefault="00DE2ED6" w:rsidP="00DE2ED6">
      <w:pPr>
        <w:pStyle w:val="Lijstalinea"/>
        <w:numPr>
          <w:ilvl w:val="0"/>
          <w:numId w:val="9"/>
        </w:numPr>
        <w:spacing w:line="360" w:lineRule="auto"/>
        <w:jc w:val="both"/>
        <w:rPr>
          <w:lang w:val="en-GB"/>
        </w:rPr>
      </w:pPr>
      <w:r w:rsidRPr="00AA64AE">
        <w:rPr>
          <w:lang w:val="en-GB"/>
        </w:rPr>
        <w:t xml:space="preserve">C-340/01, Carlito Abler and Other v Sodexho MM Catering Gesellschaft mbH, 20.11.2003, </w:t>
      </w:r>
      <w:r w:rsidR="00592EA7">
        <w:rPr>
          <w:lang w:val="en-GB"/>
        </w:rPr>
        <w:t>European Court Reports/2003/</w:t>
      </w:r>
      <w:r w:rsidR="00044C43">
        <w:rPr>
          <w:lang w:val="en-GB"/>
        </w:rPr>
        <w:t>I-14023</w:t>
      </w:r>
    </w:p>
    <w:p w14:paraId="2A5BC05C" w14:textId="637353FD" w:rsidR="007D2DB7" w:rsidRPr="00AA64AE" w:rsidRDefault="007D2DB7" w:rsidP="007D2DB7">
      <w:pPr>
        <w:pStyle w:val="Lijstalinea"/>
        <w:numPr>
          <w:ilvl w:val="0"/>
          <w:numId w:val="9"/>
        </w:numPr>
        <w:spacing w:line="360" w:lineRule="auto"/>
        <w:jc w:val="both"/>
        <w:rPr>
          <w:lang w:val="en-GB"/>
        </w:rPr>
      </w:pPr>
      <w:r w:rsidRPr="00AA64AE">
        <w:rPr>
          <w:lang w:val="en-GB"/>
        </w:rPr>
        <w:t xml:space="preserve">C-466/07, Dietmar Klarenberg v Ferrotron Technologies GmbH, 12.2.2009, </w:t>
      </w:r>
      <w:r w:rsidR="00592EA7">
        <w:rPr>
          <w:lang w:val="en-GB"/>
        </w:rPr>
        <w:t>European Court Reports/2009/</w:t>
      </w:r>
      <w:r w:rsidR="00044C43">
        <w:rPr>
          <w:lang w:val="en-GB"/>
        </w:rPr>
        <w:t>I-00803</w:t>
      </w:r>
    </w:p>
    <w:p w14:paraId="04DE2196" w14:textId="1B3CB810" w:rsidR="00620054" w:rsidRDefault="00FB5415" w:rsidP="00620054">
      <w:pPr>
        <w:pStyle w:val="Lijstalinea"/>
        <w:numPr>
          <w:ilvl w:val="0"/>
          <w:numId w:val="9"/>
        </w:numPr>
        <w:spacing w:line="360" w:lineRule="auto"/>
        <w:jc w:val="both"/>
        <w:rPr>
          <w:lang w:val="en-GB"/>
        </w:rPr>
      </w:pPr>
      <w:r w:rsidRPr="00620054">
        <w:rPr>
          <w:lang w:val="en-GB"/>
        </w:rPr>
        <w:t>C-101/87, P. Bork International A/S, in liquidation v Foreningen af Arbejdsledere I Danmark, acting on behalf of Birger E. Petersen, and Jens E. Olsen and others v Junckers Industrier A/S, 15</w:t>
      </w:r>
      <w:r w:rsidR="00592EA7">
        <w:rPr>
          <w:lang w:val="en-GB"/>
        </w:rPr>
        <w:t>.6.1988, European Court Reports/</w:t>
      </w:r>
      <w:r w:rsidRPr="00620054">
        <w:rPr>
          <w:lang w:val="en-GB"/>
        </w:rPr>
        <w:t>19</w:t>
      </w:r>
      <w:r w:rsidR="00592EA7">
        <w:rPr>
          <w:lang w:val="en-GB"/>
        </w:rPr>
        <w:t>88/I</w:t>
      </w:r>
      <w:r w:rsidR="00044C43">
        <w:rPr>
          <w:lang w:val="en-GB"/>
        </w:rPr>
        <w:t>-03057</w:t>
      </w:r>
    </w:p>
    <w:p w14:paraId="6580BDB6" w14:textId="588A2ADC" w:rsidR="00620054" w:rsidRPr="00620054" w:rsidRDefault="00620054" w:rsidP="00620054">
      <w:pPr>
        <w:pStyle w:val="Lijstalinea"/>
        <w:numPr>
          <w:ilvl w:val="0"/>
          <w:numId w:val="9"/>
        </w:numPr>
        <w:spacing w:line="360" w:lineRule="auto"/>
        <w:jc w:val="both"/>
        <w:rPr>
          <w:lang w:val="en-GB"/>
        </w:rPr>
      </w:pPr>
      <w:r w:rsidRPr="00620054">
        <w:rPr>
          <w:lang w:val="en-GB"/>
        </w:rPr>
        <w:t xml:space="preserve">C-160/14, João Filipe Ferreira da Silva e Brito and Others </w:t>
      </w:r>
      <w:r w:rsidR="00044C43">
        <w:rPr>
          <w:lang w:val="en-GB"/>
        </w:rPr>
        <w:t>v Estado português, 09.09.2015</w:t>
      </w:r>
    </w:p>
    <w:p w14:paraId="0A23E6C9" w14:textId="3B8A405F" w:rsidR="0019292B" w:rsidRPr="00AA64AE" w:rsidRDefault="0019292B" w:rsidP="0019292B">
      <w:pPr>
        <w:pStyle w:val="Lijstalinea"/>
        <w:numPr>
          <w:ilvl w:val="0"/>
          <w:numId w:val="9"/>
        </w:numPr>
        <w:spacing w:line="360" w:lineRule="auto"/>
        <w:jc w:val="both"/>
        <w:rPr>
          <w:lang w:val="en-GB"/>
        </w:rPr>
      </w:pPr>
      <w:r w:rsidRPr="00AA64AE">
        <w:rPr>
          <w:lang w:val="en-GB"/>
        </w:rPr>
        <w:t xml:space="preserve">C-108/10, Ivana Scattolon v Ministero dell’Istruzione, dell’Università e della Ricerca, 6.9.2011, </w:t>
      </w:r>
      <w:r w:rsidR="00EB4FE9" w:rsidRPr="00AA64AE">
        <w:rPr>
          <w:lang w:val="en-GB"/>
        </w:rPr>
        <w:t>European Court Reports</w:t>
      </w:r>
      <w:r w:rsidR="00592EA7">
        <w:rPr>
          <w:lang w:val="en-GB"/>
        </w:rPr>
        <w:t>/2011/</w:t>
      </w:r>
      <w:r w:rsidR="00044C43">
        <w:rPr>
          <w:lang w:val="en-GB"/>
        </w:rPr>
        <w:t>I-07491</w:t>
      </w:r>
    </w:p>
    <w:p w14:paraId="0024E5B3" w14:textId="5BBBF1A7" w:rsidR="00296ABA" w:rsidRPr="00AA64AE" w:rsidRDefault="00D871CB" w:rsidP="00D871CB">
      <w:pPr>
        <w:pStyle w:val="Lijstalinea"/>
        <w:numPr>
          <w:ilvl w:val="0"/>
          <w:numId w:val="9"/>
        </w:numPr>
        <w:spacing w:line="360" w:lineRule="auto"/>
        <w:jc w:val="both"/>
        <w:rPr>
          <w:lang w:val="en-GB"/>
        </w:rPr>
      </w:pPr>
      <w:r w:rsidRPr="00AA64AE">
        <w:rPr>
          <w:lang w:val="en-GB"/>
        </w:rPr>
        <w:t xml:space="preserve">C-13/95, Ayse Süzen v Zehnacker Gebäudereinigung GmbH Krankenhausservice, 11.3.1997, </w:t>
      </w:r>
      <w:r w:rsidR="00592EA7">
        <w:rPr>
          <w:lang w:val="en-GB"/>
        </w:rPr>
        <w:t>European Court Reports/1997/</w:t>
      </w:r>
      <w:r w:rsidR="00044C43">
        <w:rPr>
          <w:lang w:val="en-GB"/>
        </w:rPr>
        <w:t>I-01259</w:t>
      </w:r>
    </w:p>
    <w:p w14:paraId="2ECF0573" w14:textId="54327B4B" w:rsidR="007C4422" w:rsidRPr="00AA64AE" w:rsidRDefault="007C4422" w:rsidP="007C4422">
      <w:pPr>
        <w:pStyle w:val="Lijstalinea"/>
        <w:numPr>
          <w:ilvl w:val="0"/>
          <w:numId w:val="9"/>
        </w:numPr>
        <w:spacing w:line="360" w:lineRule="auto"/>
        <w:jc w:val="both"/>
        <w:rPr>
          <w:lang w:val="en-GB"/>
        </w:rPr>
      </w:pPr>
      <w:r w:rsidRPr="00AA64AE">
        <w:rPr>
          <w:lang w:val="en-GB"/>
        </w:rPr>
        <w:t xml:space="preserve">C-51/00, Temco Service Industries SA v Samir Imzilyen and Others, 24.1.2002, </w:t>
      </w:r>
      <w:r w:rsidR="00EB4FE9" w:rsidRPr="00AA64AE">
        <w:rPr>
          <w:lang w:val="en-GB"/>
        </w:rPr>
        <w:t>European</w:t>
      </w:r>
      <w:r w:rsidR="00592EA7">
        <w:rPr>
          <w:lang w:val="en-GB"/>
        </w:rPr>
        <w:t xml:space="preserve"> Court Reports/2002/</w:t>
      </w:r>
      <w:r w:rsidRPr="00AA64AE">
        <w:rPr>
          <w:lang w:val="en-GB"/>
        </w:rPr>
        <w:t>I-00969</w:t>
      </w:r>
    </w:p>
    <w:p w14:paraId="4C2E0F15" w14:textId="5252E524" w:rsidR="007C4422" w:rsidRPr="00AA64AE" w:rsidRDefault="007C4422" w:rsidP="007C4422">
      <w:pPr>
        <w:pStyle w:val="Lijstalinea"/>
        <w:numPr>
          <w:ilvl w:val="0"/>
          <w:numId w:val="9"/>
        </w:numPr>
        <w:spacing w:line="360" w:lineRule="auto"/>
        <w:jc w:val="both"/>
        <w:rPr>
          <w:lang w:val="en-GB"/>
        </w:rPr>
      </w:pPr>
      <w:r w:rsidRPr="00AA64AE">
        <w:rPr>
          <w:lang w:val="en-GB"/>
        </w:rPr>
        <w:t>Case 324/86, Foreningen af Arbejdsledere i Danmark v Daddy's Dance Hall A/S, 10</w:t>
      </w:r>
      <w:r w:rsidR="00592EA7">
        <w:rPr>
          <w:lang w:val="en-GB"/>
        </w:rPr>
        <w:t>.2.1988, European Court Reports/1988/</w:t>
      </w:r>
      <w:r w:rsidR="00044C43">
        <w:rPr>
          <w:lang w:val="en-GB"/>
        </w:rPr>
        <w:t>-00739</w:t>
      </w:r>
    </w:p>
    <w:p w14:paraId="15DD90D0" w14:textId="411E7DFC" w:rsidR="007C4422" w:rsidRPr="00AA64AE" w:rsidRDefault="007C4422" w:rsidP="007C4422">
      <w:pPr>
        <w:pStyle w:val="Lijstalinea"/>
        <w:numPr>
          <w:ilvl w:val="0"/>
          <w:numId w:val="9"/>
        </w:numPr>
        <w:spacing w:line="360" w:lineRule="auto"/>
        <w:jc w:val="both"/>
        <w:rPr>
          <w:lang w:val="en-GB"/>
        </w:rPr>
      </w:pPr>
      <w:r w:rsidRPr="00AA64AE">
        <w:rPr>
          <w:lang w:val="en-GB"/>
        </w:rPr>
        <w:t>Case 287/86, Landsorganisationen i Danmark for Tjenerforbundet i Danmark v Ny Mølle Kro, 28.</w:t>
      </w:r>
      <w:r w:rsidR="00592EA7">
        <w:rPr>
          <w:lang w:val="en-GB"/>
        </w:rPr>
        <w:t>10.1987, European Court Reports/1987/</w:t>
      </w:r>
      <w:r w:rsidR="00044C43">
        <w:rPr>
          <w:lang w:val="en-GB"/>
        </w:rPr>
        <w:t>-05465</w:t>
      </w:r>
    </w:p>
    <w:p w14:paraId="26792DAA" w14:textId="49D3F4A1" w:rsidR="00B03729" w:rsidRPr="00AA64AE" w:rsidRDefault="00B03729" w:rsidP="002A53F0">
      <w:pPr>
        <w:pStyle w:val="Lijstalinea"/>
        <w:numPr>
          <w:ilvl w:val="0"/>
          <w:numId w:val="9"/>
        </w:numPr>
        <w:spacing w:line="360" w:lineRule="auto"/>
        <w:jc w:val="both"/>
        <w:rPr>
          <w:lang w:val="en-GB"/>
        </w:rPr>
      </w:pPr>
      <w:r w:rsidRPr="00AA64AE">
        <w:rPr>
          <w:lang w:val="en-GB"/>
        </w:rPr>
        <w:t>Cases 144 and 145/87, Harry Berg and Johannes Theodorus Maria Busschers v Ivo Martin Besselsen, 5</w:t>
      </w:r>
      <w:r w:rsidR="00592EA7">
        <w:rPr>
          <w:lang w:val="en-GB"/>
        </w:rPr>
        <w:t>.5.1988, European Court Reports/1988/</w:t>
      </w:r>
      <w:r w:rsidRPr="00AA64AE">
        <w:rPr>
          <w:lang w:val="en-GB"/>
        </w:rPr>
        <w:t>-02559</w:t>
      </w:r>
    </w:p>
    <w:p w14:paraId="1B390C8F" w14:textId="5EF781B3" w:rsidR="00B03729" w:rsidRPr="00AA64AE" w:rsidRDefault="00B03729" w:rsidP="002A53F0">
      <w:pPr>
        <w:pStyle w:val="Lijstalinea"/>
        <w:numPr>
          <w:ilvl w:val="0"/>
          <w:numId w:val="9"/>
        </w:numPr>
        <w:spacing w:line="360" w:lineRule="auto"/>
        <w:jc w:val="both"/>
        <w:rPr>
          <w:lang w:val="en-GB"/>
        </w:rPr>
      </w:pPr>
      <w:r w:rsidRPr="00AA64AE">
        <w:rPr>
          <w:lang w:val="en-GB"/>
        </w:rPr>
        <w:lastRenderedPageBreak/>
        <w:t>C-29/91, Sophie Redmond Stichting v Hendrikus Bartol and Others, 19</w:t>
      </w:r>
      <w:r w:rsidR="00592EA7">
        <w:rPr>
          <w:lang w:val="en-GB"/>
        </w:rPr>
        <w:t>.5.1992, European Court Reports/1992/</w:t>
      </w:r>
      <w:r w:rsidR="00044C43">
        <w:rPr>
          <w:lang w:val="en-GB"/>
        </w:rPr>
        <w:t>I-03189</w:t>
      </w:r>
    </w:p>
    <w:p w14:paraId="6A69B4ED" w14:textId="58379D32" w:rsidR="001F4A12" w:rsidRPr="00AA64AE" w:rsidRDefault="001F4A12" w:rsidP="007D2DB7">
      <w:pPr>
        <w:pStyle w:val="Lijstalinea"/>
        <w:numPr>
          <w:ilvl w:val="0"/>
          <w:numId w:val="9"/>
        </w:numPr>
        <w:spacing w:line="360" w:lineRule="auto"/>
        <w:jc w:val="both"/>
        <w:rPr>
          <w:lang w:val="en-GB"/>
        </w:rPr>
      </w:pPr>
      <w:r w:rsidRPr="00AA64AE">
        <w:rPr>
          <w:lang w:val="en-GB"/>
        </w:rPr>
        <w:t xml:space="preserve">C-172/99, Oy Liikenne Ab v Pekka Liskojärvi and Pentti Juntunen, 25.1.2001, </w:t>
      </w:r>
      <w:r w:rsidR="00592EA7">
        <w:rPr>
          <w:lang w:val="en-GB"/>
        </w:rPr>
        <w:t>European Court Reports/2001/</w:t>
      </w:r>
      <w:r w:rsidRPr="00AA64AE">
        <w:rPr>
          <w:lang w:val="en-GB"/>
        </w:rPr>
        <w:t>I-00745</w:t>
      </w:r>
    </w:p>
    <w:p w14:paraId="34144CFF" w14:textId="5BFECD21" w:rsidR="001F4A12" w:rsidRPr="00AA64AE" w:rsidRDefault="00DE2ED6" w:rsidP="007D2DB7">
      <w:pPr>
        <w:pStyle w:val="Lijstalinea"/>
        <w:numPr>
          <w:ilvl w:val="0"/>
          <w:numId w:val="9"/>
        </w:numPr>
        <w:spacing w:line="360" w:lineRule="auto"/>
        <w:jc w:val="both"/>
        <w:rPr>
          <w:lang w:val="fr-FR"/>
        </w:rPr>
      </w:pPr>
      <w:r w:rsidRPr="00AA64AE">
        <w:rPr>
          <w:lang w:val="fr-FR"/>
        </w:rPr>
        <w:t xml:space="preserve">C-175/99, Didier Mayeur v Association Promotion de l'information messine (APIM), 26.9.2000, </w:t>
      </w:r>
      <w:r w:rsidR="00592EA7">
        <w:rPr>
          <w:lang w:val="fr-FR"/>
        </w:rPr>
        <w:t>European Court Reports/2000/</w:t>
      </w:r>
      <w:r w:rsidR="00044C43">
        <w:rPr>
          <w:lang w:val="fr-FR"/>
        </w:rPr>
        <w:t>I-07755</w:t>
      </w:r>
    </w:p>
    <w:p w14:paraId="64AAF225" w14:textId="305B0F9F" w:rsidR="00FB5415" w:rsidRPr="00AA64AE" w:rsidRDefault="00366398" w:rsidP="00FB5415">
      <w:pPr>
        <w:pStyle w:val="Lijstalinea"/>
        <w:numPr>
          <w:ilvl w:val="0"/>
          <w:numId w:val="9"/>
        </w:numPr>
        <w:spacing w:line="360" w:lineRule="auto"/>
        <w:jc w:val="both"/>
        <w:rPr>
          <w:lang w:val="en-GB"/>
        </w:rPr>
      </w:pPr>
      <w:r w:rsidRPr="00AA64AE">
        <w:rPr>
          <w:lang w:val="en-GB"/>
        </w:rPr>
        <w:t xml:space="preserve">C-171/94 and C-172/94, Albert Merckx and Patrick Neuhuys v Ford Motors Company Belgium SA, 7.3.1996, </w:t>
      </w:r>
      <w:r w:rsidR="00EB4FE9" w:rsidRPr="00AA64AE">
        <w:rPr>
          <w:lang w:val="en-GB"/>
        </w:rPr>
        <w:t>European Court Re</w:t>
      </w:r>
      <w:r w:rsidR="00592EA7">
        <w:rPr>
          <w:lang w:val="en-GB"/>
        </w:rPr>
        <w:t>ports/1996/</w:t>
      </w:r>
      <w:r w:rsidR="00044C43">
        <w:rPr>
          <w:lang w:val="en-GB"/>
        </w:rPr>
        <w:t>I-01253</w:t>
      </w:r>
    </w:p>
    <w:p w14:paraId="3EEFD9CE" w14:textId="63E72823" w:rsidR="006C187E" w:rsidRPr="00AA64AE" w:rsidRDefault="006C187E" w:rsidP="006C187E">
      <w:pPr>
        <w:pStyle w:val="Lijstalinea"/>
        <w:numPr>
          <w:ilvl w:val="0"/>
          <w:numId w:val="9"/>
        </w:numPr>
        <w:spacing w:line="360" w:lineRule="auto"/>
        <w:jc w:val="both"/>
        <w:rPr>
          <w:rFonts w:eastAsia="Times New Roman"/>
          <w:lang w:val="en-US"/>
        </w:rPr>
      </w:pPr>
      <w:r w:rsidRPr="00AA64AE">
        <w:rPr>
          <w:lang w:val="en-GB"/>
        </w:rPr>
        <w:t>C-209/91, Anne Watson Rask and Kirsten Christensen v ISS Kantineservice, 12.</w:t>
      </w:r>
      <w:r w:rsidR="00592EA7">
        <w:rPr>
          <w:lang w:val="en-GB"/>
        </w:rPr>
        <w:t>11.1992, European Court Reports/1992/</w:t>
      </w:r>
      <w:r w:rsidR="00044C43">
        <w:rPr>
          <w:lang w:val="en-GB"/>
        </w:rPr>
        <w:t>I-05755</w:t>
      </w:r>
    </w:p>
    <w:p w14:paraId="07E1B8DA" w14:textId="27AF9593" w:rsidR="00B03729" w:rsidRPr="00AA64AE" w:rsidRDefault="006C187E" w:rsidP="00AA6293">
      <w:pPr>
        <w:pStyle w:val="Lijstalinea"/>
        <w:numPr>
          <w:ilvl w:val="0"/>
          <w:numId w:val="9"/>
        </w:numPr>
        <w:spacing w:line="360" w:lineRule="auto"/>
        <w:jc w:val="both"/>
        <w:rPr>
          <w:lang w:val="en-GB"/>
        </w:rPr>
      </w:pPr>
      <w:r w:rsidRPr="00AA64AE">
        <w:rPr>
          <w:lang w:val="en-GB"/>
        </w:rPr>
        <w:t xml:space="preserve">C-478/03 Celtec Ltd v John Astley and Others, 26.5.2005, </w:t>
      </w:r>
      <w:r w:rsidR="00F77399">
        <w:rPr>
          <w:lang w:val="en-GB"/>
        </w:rPr>
        <w:t>European Court Reports/2005/</w:t>
      </w:r>
      <w:r w:rsidR="00044C43">
        <w:rPr>
          <w:lang w:val="en-GB"/>
        </w:rPr>
        <w:t>I-04389</w:t>
      </w:r>
    </w:p>
    <w:p w14:paraId="6F3C2A5F" w14:textId="07069DB0" w:rsidR="00451616" w:rsidRPr="00AA64AE" w:rsidRDefault="00F77D2B" w:rsidP="00AA6293">
      <w:pPr>
        <w:pStyle w:val="Lijstalinea"/>
        <w:numPr>
          <w:ilvl w:val="0"/>
          <w:numId w:val="9"/>
        </w:numPr>
        <w:spacing w:line="360" w:lineRule="auto"/>
        <w:jc w:val="both"/>
        <w:rPr>
          <w:lang w:val="en-GB"/>
        </w:rPr>
      </w:pPr>
      <w:r w:rsidRPr="00AA64AE">
        <w:rPr>
          <w:lang w:val="en-GB"/>
        </w:rPr>
        <w:t>C-396/07 Mirja Juuri v Fazer Amica Oy</w:t>
      </w:r>
      <w:r w:rsidR="00275954" w:rsidRPr="00AA64AE">
        <w:rPr>
          <w:lang w:val="en-GB"/>
        </w:rPr>
        <w:t xml:space="preserve">, 27.11.2008, </w:t>
      </w:r>
      <w:r w:rsidR="00F77399">
        <w:rPr>
          <w:lang w:val="en-GB"/>
        </w:rPr>
        <w:t>European Court Reports/2008/</w:t>
      </w:r>
      <w:r w:rsidR="00275954" w:rsidRPr="00AA64AE">
        <w:rPr>
          <w:lang w:val="en-GB"/>
        </w:rPr>
        <w:t>I-</w:t>
      </w:r>
      <w:r w:rsidR="00044C43">
        <w:rPr>
          <w:lang w:val="en-GB"/>
        </w:rPr>
        <w:t>08883</w:t>
      </w:r>
    </w:p>
    <w:p w14:paraId="7D9CC354" w14:textId="23DC2050" w:rsidR="00275954" w:rsidRPr="00AA64AE" w:rsidRDefault="00275954" w:rsidP="00AA6293">
      <w:pPr>
        <w:pStyle w:val="Lijstalinea"/>
        <w:numPr>
          <w:ilvl w:val="0"/>
          <w:numId w:val="9"/>
        </w:numPr>
        <w:spacing w:line="360" w:lineRule="auto"/>
        <w:jc w:val="both"/>
        <w:rPr>
          <w:lang w:val="en-GB"/>
        </w:rPr>
      </w:pPr>
      <w:r w:rsidRPr="00AA64AE">
        <w:rPr>
          <w:lang w:val="en-GB"/>
        </w:rPr>
        <w:t>C-499/04 Hans Werhof v Freeway Traffic Systems GmbH &amp; Co. KG, 9</w:t>
      </w:r>
      <w:r w:rsidR="00F77399">
        <w:rPr>
          <w:lang w:val="en-GB"/>
        </w:rPr>
        <w:t>.3.2006, European Court Reports/2006/</w:t>
      </w:r>
      <w:r w:rsidRPr="00AA64AE">
        <w:rPr>
          <w:lang w:val="en-GB"/>
        </w:rPr>
        <w:t>I-02397</w:t>
      </w:r>
    </w:p>
    <w:p w14:paraId="5A231CF7" w14:textId="23D1B246" w:rsidR="00AA6293" w:rsidRPr="00AA64AE" w:rsidRDefault="00AA6293" w:rsidP="00AA6293">
      <w:pPr>
        <w:pStyle w:val="Lijstalinea"/>
        <w:numPr>
          <w:ilvl w:val="0"/>
          <w:numId w:val="9"/>
        </w:numPr>
        <w:spacing w:line="360" w:lineRule="auto"/>
        <w:jc w:val="both"/>
        <w:rPr>
          <w:lang w:val="en-GB"/>
        </w:rPr>
      </w:pPr>
      <w:r w:rsidRPr="00AA64AE">
        <w:rPr>
          <w:lang w:val="en-GB"/>
        </w:rPr>
        <w:t>C-426/11 Mark Alemo-Herron and Others v Parkwood Leisure Ltd,</w:t>
      </w:r>
      <w:r w:rsidR="00044C43">
        <w:rPr>
          <w:lang w:val="en-GB"/>
        </w:rPr>
        <w:t xml:space="preserve"> 18.7.2013, ECLI:EU:C:2013:521</w:t>
      </w:r>
    </w:p>
    <w:p w14:paraId="714459BE" w14:textId="1F6086D0" w:rsidR="00B53E0E" w:rsidRDefault="00AA6293" w:rsidP="00B53E0E">
      <w:pPr>
        <w:pStyle w:val="Lijstalinea"/>
        <w:numPr>
          <w:ilvl w:val="0"/>
          <w:numId w:val="9"/>
        </w:numPr>
        <w:spacing w:line="360" w:lineRule="auto"/>
        <w:jc w:val="both"/>
        <w:rPr>
          <w:lang w:val="en-GB"/>
        </w:rPr>
      </w:pPr>
      <w:r w:rsidRPr="00AA64AE">
        <w:rPr>
          <w:lang w:val="en-GB"/>
        </w:rPr>
        <w:t xml:space="preserve">C-229/08, Colin Wolf v Stadt Frankfurt am Main, 12.1.2010, </w:t>
      </w:r>
      <w:r w:rsidR="00F77399">
        <w:rPr>
          <w:lang w:val="en-GB"/>
        </w:rPr>
        <w:t>European Court Reports/2010/</w:t>
      </w:r>
      <w:r w:rsidR="00044C43">
        <w:rPr>
          <w:lang w:val="en-GB"/>
        </w:rPr>
        <w:t>I-00001</w:t>
      </w:r>
    </w:p>
    <w:p w14:paraId="2817652A" w14:textId="1444735E" w:rsidR="00F51EAA" w:rsidRDefault="00B53E0E" w:rsidP="00F51EAA">
      <w:pPr>
        <w:pStyle w:val="Lijstalinea"/>
        <w:numPr>
          <w:ilvl w:val="0"/>
          <w:numId w:val="9"/>
        </w:numPr>
        <w:spacing w:line="360" w:lineRule="auto"/>
        <w:jc w:val="both"/>
        <w:rPr>
          <w:lang w:val="en-GB"/>
        </w:rPr>
      </w:pPr>
      <w:r w:rsidRPr="00B53E0E">
        <w:rPr>
          <w:lang w:val="en-GB" w:eastAsia="en-US"/>
        </w:rPr>
        <w:t xml:space="preserve">C-45/09, </w:t>
      </w:r>
      <w:r w:rsidRPr="00B53E0E">
        <w:rPr>
          <w:lang w:val="en-GB"/>
        </w:rPr>
        <w:t>Gisela Rosenbladt v Oellerking Gebäudereinigungsges. mbH</w:t>
      </w:r>
      <w:r w:rsidRPr="00B53E0E">
        <w:rPr>
          <w:lang w:val="en-GB" w:eastAsia="en-US"/>
        </w:rPr>
        <w:t xml:space="preserve">, </w:t>
      </w:r>
      <w:r w:rsidR="000C2B9F">
        <w:rPr>
          <w:lang w:val="en-GB" w:eastAsia="en-US"/>
        </w:rPr>
        <w:t xml:space="preserve">12.10.2010, </w:t>
      </w:r>
      <w:r w:rsidR="00F77399">
        <w:rPr>
          <w:lang w:val="en-GB"/>
        </w:rPr>
        <w:t>European Court Reports/2010/</w:t>
      </w:r>
      <w:r w:rsidR="00044C43">
        <w:rPr>
          <w:lang w:val="en-GB"/>
        </w:rPr>
        <w:t>I-09391</w:t>
      </w:r>
    </w:p>
    <w:p w14:paraId="76100504" w14:textId="210A9858" w:rsidR="00B2140C" w:rsidRDefault="00F51EAA" w:rsidP="00B2140C">
      <w:pPr>
        <w:pStyle w:val="Lijstalinea"/>
        <w:numPr>
          <w:ilvl w:val="0"/>
          <w:numId w:val="9"/>
        </w:numPr>
        <w:spacing w:line="360" w:lineRule="auto"/>
        <w:jc w:val="both"/>
        <w:rPr>
          <w:lang w:val="en-GB"/>
        </w:rPr>
      </w:pPr>
      <w:r w:rsidRPr="00F51EAA">
        <w:rPr>
          <w:lang w:val="en-US"/>
        </w:rPr>
        <w:t xml:space="preserve">C-447/09, Reinhard Prigge, Michael Fromm, Volker Lambach v Deutsche Lufthansa AG, </w:t>
      </w:r>
      <w:r w:rsidR="000C2B9F">
        <w:rPr>
          <w:lang w:val="en-US"/>
        </w:rPr>
        <w:t xml:space="preserve">13.09.2011, </w:t>
      </w:r>
      <w:r w:rsidR="00F77399">
        <w:rPr>
          <w:lang w:val="en-GB"/>
        </w:rPr>
        <w:t>European Court Reports/</w:t>
      </w:r>
      <w:r w:rsidR="00F77399">
        <w:rPr>
          <w:rFonts w:eastAsia="Times New Roman"/>
          <w:bCs/>
          <w:shd w:val="clear" w:color="auto" w:fill="FFFFFF"/>
          <w:lang w:val="en-US"/>
        </w:rPr>
        <w:t>2011/</w:t>
      </w:r>
      <w:r w:rsidRPr="00F51EAA">
        <w:rPr>
          <w:rFonts w:eastAsia="Times New Roman"/>
          <w:bCs/>
          <w:shd w:val="clear" w:color="auto" w:fill="FFFFFF"/>
          <w:lang w:val="en-US"/>
        </w:rPr>
        <w:t>I-08003</w:t>
      </w:r>
      <w:r w:rsidR="00B2140C" w:rsidRPr="00B2140C">
        <w:rPr>
          <w:lang w:val="en-GB"/>
        </w:rPr>
        <w:t xml:space="preserve"> </w:t>
      </w:r>
    </w:p>
    <w:p w14:paraId="0682CC98" w14:textId="231D7F92" w:rsidR="00F51EAA" w:rsidRPr="00B2140C" w:rsidRDefault="00B2140C" w:rsidP="00B2140C">
      <w:pPr>
        <w:pStyle w:val="Lijstalinea"/>
        <w:numPr>
          <w:ilvl w:val="0"/>
          <w:numId w:val="9"/>
        </w:numPr>
        <w:spacing w:line="360" w:lineRule="auto"/>
        <w:jc w:val="both"/>
        <w:rPr>
          <w:lang w:val="en-GB"/>
        </w:rPr>
      </w:pPr>
      <w:r w:rsidRPr="00B2140C">
        <w:rPr>
          <w:lang w:val="en-US"/>
        </w:rPr>
        <w:t>Case 248/83, Commission of the European Communities v Federal Republic of Germany, 21.</w:t>
      </w:r>
      <w:r w:rsidR="00F77399">
        <w:rPr>
          <w:lang w:val="en-US"/>
        </w:rPr>
        <w:t>05.1985, European Court Reports/1985/</w:t>
      </w:r>
      <w:r w:rsidRPr="00B2140C">
        <w:rPr>
          <w:lang w:val="en-US"/>
        </w:rPr>
        <w:t>-01459</w:t>
      </w:r>
    </w:p>
    <w:p w14:paraId="53783B57" w14:textId="608EA0F9" w:rsidR="00AF6156" w:rsidRDefault="000C2B9F" w:rsidP="00AF6156">
      <w:pPr>
        <w:pStyle w:val="Lijstalinea"/>
        <w:numPr>
          <w:ilvl w:val="0"/>
          <w:numId w:val="9"/>
        </w:numPr>
        <w:spacing w:line="360" w:lineRule="auto"/>
        <w:jc w:val="both"/>
        <w:rPr>
          <w:lang w:val="en-GB"/>
        </w:rPr>
      </w:pPr>
      <w:r w:rsidRPr="000C2B9F">
        <w:rPr>
          <w:lang w:val="en-GB"/>
        </w:rPr>
        <w:t xml:space="preserve">Opinion of Advocate General Kokott, delivered on </w:t>
      </w:r>
      <w:r>
        <w:rPr>
          <w:lang w:val="en-GB"/>
        </w:rPr>
        <w:t>06.11.</w:t>
      </w:r>
      <w:r w:rsidRPr="000C2B9F">
        <w:rPr>
          <w:lang w:val="en-GB"/>
        </w:rPr>
        <w:t xml:space="preserve">2014, C-564/13 P, Planet AE Anonimi Etairia Parokhis Simvouleftikon </w:t>
      </w:r>
      <w:r w:rsidR="00044C43">
        <w:rPr>
          <w:lang w:val="en-GB"/>
        </w:rPr>
        <w:t>Ipiresion v European Commission</w:t>
      </w:r>
    </w:p>
    <w:p w14:paraId="6830C244" w14:textId="0F6FA8A5" w:rsidR="00AF6156" w:rsidRDefault="00AF6156" w:rsidP="00AF6156">
      <w:pPr>
        <w:pStyle w:val="Lijstalinea"/>
        <w:numPr>
          <w:ilvl w:val="0"/>
          <w:numId w:val="9"/>
        </w:numPr>
        <w:spacing w:line="360" w:lineRule="auto"/>
        <w:jc w:val="both"/>
        <w:rPr>
          <w:lang w:val="en-GB"/>
        </w:rPr>
      </w:pPr>
      <w:r w:rsidRPr="00AF6156">
        <w:rPr>
          <w:lang w:val="en-GB"/>
        </w:rPr>
        <w:t>Joined opinion of Mr Advocate General Cosmas delivered on 24.09.1998, C-127/96, C-229/96 and C-74/97, C-173/96 and C</w:t>
      </w:r>
      <w:r w:rsidR="00F77399">
        <w:rPr>
          <w:lang w:val="en-GB"/>
        </w:rPr>
        <w:t>-247/96, European Court Reports/1998/</w:t>
      </w:r>
      <w:r w:rsidR="00044C43">
        <w:rPr>
          <w:lang w:val="en-GB"/>
        </w:rPr>
        <w:t>I-08179</w:t>
      </w:r>
    </w:p>
    <w:p w14:paraId="3AF80571" w14:textId="77777777" w:rsidR="00B53E0E" w:rsidRPr="00B53E0E" w:rsidRDefault="00B53E0E" w:rsidP="00B53E0E">
      <w:pPr>
        <w:rPr>
          <w:rFonts w:eastAsia="Times New Roman"/>
          <w:lang w:val="en-US"/>
        </w:rPr>
      </w:pPr>
    </w:p>
    <w:p w14:paraId="306AA137" w14:textId="6BA4B2B0" w:rsidR="00AA6293" w:rsidRPr="00AA64AE" w:rsidRDefault="00AA6293" w:rsidP="00275954">
      <w:pPr>
        <w:rPr>
          <w:rFonts w:eastAsia="Times New Roman"/>
          <w:lang w:val="en-US"/>
        </w:rPr>
      </w:pPr>
    </w:p>
    <w:p w14:paraId="39C93028" w14:textId="5C5EA829" w:rsidR="00C5541A" w:rsidRPr="00AA64AE" w:rsidRDefault="00C5541A" w:rsidP="00C5541A">
      <w:pPr>
        <w:pStyle w:val="Kop4"/>
      </w:pPr>
      <w:r w:rsidRPr="00AA64AE">
        <w:lastRenderedPageBreak/>
        <w:t xml:space="preserve">hungarian </w:t>
      </w:r>
      <w:r w:rsidR="005D26CD">
        <w:t>case-</w:t>
      </w:r>
      <w:r w:rsidRPr="00AA64AE">
        <w:t>law</w:t>
      </w:r>
    </w:p>
    <w:p w14:paraId="4F26AFED" w14:textId="77777777" w:rsidR="00C5541A" w:rsidRPr="00AA64AE" w:rsidRDefault="00C5541A" w:rsidP="00C5541A">
      <w:pPr>
        <w:rPr>
          <w:lang w:val="en-GB"/>
        </w:rPr>
      </w:pPr>
    </w:p>
    <w:p w14:paraId="7275D293" w14:textId="49AA2419" w:rsidR="00C5541A" w:rsidRPr="00AA64AE" w:rsidRDefault="00C5541A" w:rsidP="00C5541A">
      <w:pPr>
        <w:pStyle w:val="Lijstalinea"/>
        <w:numPr>
          <w:ilvl w:val="0"/>
          <w:numId w:val="9"/>
        </w:numPr>
        <w:spacing w:line="360" w:lineRule="auto"/>
        <w:jc w:val="both"/>
        <w:rPr>
          <w:lang w:val="en-GB"/>
        </w:rPr>
      </w:pPr>
      <w:r w:rsidRPr="00AA64AE">
        <w:rPr>
          <w:lang w:val="en-GB"/>
        </w:rPr>
        <w:t>BH 1995/493, the Supreme Court of Hungary (Magyarország Legfelsőbb Bírósága)</w:t>
      </w:r>
    </w:p>
    <w:p w14:paraId="245FBDC5" w14:textId="76587618" w:rsidR="0097411F" w:rsidRPr="00AA64AE" w:rsidRDefault="0097411F" w:rsidP="00C5541A">
      <w:pPr>
        <w:pStyle w:val="Kop4"/>
      </w:pPr>
      <w:r w:rsidRPr="00AA64AE">
        <w:br w:type="page"/>
      </w:r>
    </w:p>
    <w:p w14:paraId="5E47EC94" w14:textId="77D5B742" w:rsidR="00FA0B6C" w:rsidRPr="00FA0B6C" w:rsidRDefault="00451616" w:rsidP="00FA0B6C">
      <w:pPr>
        <w:pStyle w:val="Kop2"/>
        <w:rPr>
          <w:lang w:val="en-GB"/>
        </w:rPr>
      </w:pPr>
      <w:bookmarkStart w:id="13" w:name="_Toc480403679"/>
      <w:bookmarkStart w:id="14" w:name="_Toc480403821"/>
      <w:bookmarkStart w:id="15" w:name="_Toc481400972"/>
      <w:r w:rsidRPr="00AA64AE">
        <w:rPr>
          <w:lang w:val="en-GB"/>
        </w:rPr>
        <w:lastRenderedPageBreak/>
        <w:t>STATEMENT OF RELEVANT FACTS</w:t>
      </w:r>
      <w:bookmarkEnd w:id="13"/>
      <w:bookmarkEnd w:id="14"/>
      <w:bookmarkEnd w:id="15"/>
    </w:p>
    <w:p w14:paraId="21FABEB8" w14:textId="77777777" w:rsidR="008E1ED2" w:rsidRDefault="008E1ED2" w:rsidP="008E1ED2">
      <w:pPr>
        <w:spacing w:line="360" w:lineRule="auto"/>
        <w:jc w:val="both"/>
        <w:rPr>
          <w:rFonts w:eastAsia="Times New Roman"/>
          <w:lang w:val="en-GB"/>
        </w:rPr>
      </w:pPr>
    </w:p>
    <w:p w14:paraId="15F00235" w14:textId="4C8A8C39" w:rsidR="00462197" w:rsidRPr="00220E38" w:rsidRDefault="00044C43" w:rsidP="00462197">
      <w:pPr>
        <w:pStyle w:val="Lijstalinea"/>
        <w:numPr>
          <w:ilvl w:val="0"/>
          <w:numId w:val="14"/>
        </w:numPr>
        <w:spacing w:line="360" w:lineRule="auto"/>
        <w:rPr>
          <w:b/>
          <w:lang w:val="en-GB"/>
        </w:rPr>
      </w:pPr>
      <w:r>
        <w:rPr>
          <w:b/>
          <w:lang w:val="en-GB"/>
        </w:rPr>
        <w:t xml:space="preserve">Ad claim 1 - </w:t>
      </w:r>
      <w:r w:rsidRPr="00044C43">
        <w:rPr>
          <w:b/>
          <w:i/>
          <w:lang w:val="en-GB"/>
        </w:rPr>
        <w:t>The Defendant states that there was no</w:t>
      </w:r>
      <w:r>
        <w:rPr>
          <w:b/>
          <w:lang w:val="en-GB"/>
        </w:rPr>
        <w:t xml:space="preserve"> </w:t>
      </w:r>
      <w:r w:rsidR="00462197" w:rsidRPr="00220E38">
        <w:rPr>
          <w:b/>
          <w:i/>
          <w:lang w:val="en-GB"/>
        </w:rPr>
        <w:t>transfer of enterprise</w:t>
      </w:r>
      <w:r w:rsidR="00352E06">
        <w:rPr>
          <w:b/>
          <w:i/>
          <w:lang w:val="en-GB"/>
        </w:rPr>
        <w:t>.</w:t>
      </w:r>
    </w:p>
    <w:p w14:paraId="6A08B8F7" w14:textId="77777777" w:rsidR="00A44D0C" w:rsidRPr="00A44D0C" w:rsidRDefault="000C0118" w:rsidP="00462197">
      <w:pPr>
        <w:pStyle w:val="Lijstalinea"/>
        <w:numPr>
          <w:ilvl w:val="0"/>
          <w:numId w:val="9"/>
        </w:numPr>
        <w:spacing w:line="360" w:lineRule="auto"/>
        <w:jc w:val="both"/>
        <w:rPr>
          <w:rFonts w:eastAsia="Times New Roman"/>
          <w:lang w:val="en-GB"/>
        </w:rPr>
      </w:pPr>
      <w:r w:rsidRPr="00462197">
        <w:rPr>
          <w:rFonts w:eastAsia="Times New Roman"/>
          <w:lang w:val="en-GB"/>
        </w:rPr>
        <w:t xml:space="preserve">Employer X operated </w:t>
      </w:r>
      <w:r w:rsidR="00A44D0C">
        <w:rPr>
          <w:rFonts w:eastAsia="Times New Roman"/>
          <w:lang w:val="en-GB"/>
        </w:rPr>
        <w:t>a dining room.</w:t>
      </w:r>
      <w:r w:rsidRPr="00462197">
        <w:rPr>
          <w:lang w:val="en-GB"/>
        </w:rPr>
        <w:t xml:space="preserve"> </w:t>
      </w:r>
    </w:p>
    <w:p w14:paraId="7DC0D4A6" w14:textId="77BFD508" w:rsidR="000C0118" w:rsidRPr="00462197" w:rsidRDefault="000C0118" w:rsidP="00462197">
      <w:pPr>
        <w:pStyle w:val="Lijstalinea"/>
        <w:numPr>
          <w:ilvl w:val="0"/>
          <w:numId w:val="9"/>
        </w:numPr>
        <w:spacing w:line="360" w:lineRule="auto"/>
        <w:jc w:val="both"/>
        <w:rPr>
          <w:rFonts w:eastAsia="Times New Roman"/>
          <w:lang w:val="en-GB"/>
        </w:rPr>
      </w:pPr>
      <w:r w:rsidRPr="00462197">
        <w:rPr>
          <w:lang w:val="en-GB"/>
        </w:rPr>
        <w:t xml:space="preserve">Employer X leased the real estate needed </w:t>
      </w:r>
      <w:r w:rsidR="00A44D0C">
        <w:rPr>
          <w:lang w:val="en-GB"/>
        </w:rPr>
        <w:t xml:space="preserve">from the lessor and all </w:t>
      </w:r>
      <w:r w:rsidRPr="00462197">
        <w:rPr>
          <w:lang w:val="en-GB"/>
        </w:rPr>
        <w:t>accessories and t</w:t>
      </w:r>
      <w:r w:rsidR="00462197">
        <w:rPr>
          <w:lang w:val="en-GB"/>
        </w:rPr>
        <w:t xml:space="preserve">ools from </w:t>
      </w:r>
      <w:r w:rsidR="00A44D0C">
        <w:rPr>
          <w:lang w:val="en-GB"/>
        </w:rPr>
        <w:t>other</w:t>
      </w:r>
      <w:r w:rsidR="00462197">
        <w:rPr>
          <w:lang w:val="en-GB"/>
        </w:rPr>
        <w:t xml:space="preserve"> institutions.</w:t>
      </w:r>
    </w:p>
    <w:p w14:paraId="05EAAB24" w14:textId="206AC15B" w:rsidR="00462197" w:rsidRPr="0093543A" w:rsidRDefault="00462197" w:rsidP="00462197">
      <w:pPr>
        <w:pStyle w:val="Lijstalinea"/>
        <w:numPr>
          <w:ilvl w:val="0"/>
          <w:numId w:val="9"/>
        </w:numPr>
        <w:spacing w:line="360" w:lineRule="auto"/>
        <w:jc w:val="both"/>
        <w:rPr>
          <w:rFonts w:eastAsia="Times New Roman"/>
          <w:lang w:val="en-GB"/>
        </w:rPr>
      </w:pPr>
      <w:r>
        <w:rPr>
          <w:lang w:val="en-GB"/>
        </w:rPr>
        <w:t>The dining room at issue</w:t>
      </w:r>
      <w:r w:rsidRPr="00BB4387">
        <w:rPr>
          <w:lang w:val="en-GB"/>
        </w:rPr>
        <w:t xml:space="preserve"> operated in the building where Employer X carries out exclusive veterinary service and related official epidemiological tasks. Based on the contract with the Hungarian Ministry of Health, Employer X had the right to issue the official permission for pets to travel.</w:t>
      </w:r>
    </w:p>
    <w:p w14:paraId="0223B4CC" w14:textId="1E3596A6" w:rsidR="0093543A" w:rsidRPr="00267F1B" w:rsidRDefault="0093543A" w:rsidP="00462197">
      <w:pPr>
        <w:pStyle w:val="Lijstalinea"/>
        <w:numPr>
          <w:ilvl w:val="0"/>
          <w:numId w:val="9"/>
        </w:numPr>
        <w:spacing w:line="360" w:lineRule="auto"/>
        <w:jc w:val="both"/>
        <w:rPr>
          <w:rFonts w:eastAsia="Times New Roman"/>
          <w:lang w:val="en-GB"/>
        </w:rPr>
      </w:pPr>
      <w:r>
        <w:rPr>
          <w:lang w:val="en-GB"/>
        </w:rPr>
        <w:t>It offered sandwiches, lunch menu and a coffee machine.</w:t>
      </w:r>
    </w:p>
    <w:p w14:paraId="1BEBE5A8" w14:textId="379EAF53" w:rsidR="00267F1B" w:rsidRPr="00A348B3" w:rsidRDefault="00267F1B" w:rsidP="00462197">
      <w:pPr>
        <w:pStyle w:val="Lijstalinea"/>
        <w:numPr>
          <w:ilvl w:val="0"/>
          <w:numId w:val="9"/>
        </w:numPr>
        <w:spacing w:line="360" w:lineRule="auto"/>
        <w:jc w:val="both"/>
        <w:rPr>
          <w:rFonts w:eastAsia="Times New Roman"/>
          <w:lang w:val="en-GB"/>
        </w:rPr>
      </w:pPr>
      <w:r>
        <w:rPr>
          <w:lang w:val="en-GB"/>
        </w:rPr>
        <w:t>It mostly served as an in-house restaurant for office workers.</w:t>
      </w:r>
    </w:p>
    <w:p w14:paraId="71972C56" w14:textId="5522F7D2" w:rsidR="00A348B3" w:rsidRPr="00A348B3" w:rsidRDefault="000641CF" w:rsidP="00462197">
      <w:pPr>
        <w:pStyle w:val="Lijstalinea"/>
        <w:numPr>
          <w:ilvl w:val="0"/>
          <w:numId w:val="9"/>
        </w:numPr>
        <w:spacing w:line="360" w:lineRule="auto"/>
        <w:jc w:val="both"/>
        <w:rPr>
          <w:rFonts w:eastAsia="Times New Roman"/>
          <w:lang w:val="en-GB"/>
        </w:rPr>
      </w:pPr>
      <w:r>
        <w:rPr>
          <w:lang w:val="en-GB"/>
        </w:rPr>
        <w:t>When working at X, Plaintiffs had</w:t>
      </w:r>
      <w:r w:rsidR="00A348B3">
        <w:rPr>
          <w:lang w:val="en-GB"/>
        </w:rPr>
        <w:t xml:space="preserve"> the following scopes of duties: waiter, kitchen worker and bartender.</w:t>
      </w:r>
    </w:p>
    <w:p w14:paraId="4F8CDA80" w14:textId="367E8512" w:rsidR="00A348B3" w:rsidRPr="00BB4387" w:rsidRDefault="00A348B3" w:rsidP="00462197">
      <w:pPr>
        <w:pStyle w:val="Lijstalinea"/>
        <w:numPr>
          <w:ilvl w:val="0"/>
          <w:numId w:val="9"/>
        </w:numPr>
        <w:spacing w:line="360" w:lineRule="auto"/>
        <w:jc w:val="both"/>
        <w:rPr>
          <w:rFonts w:eastAsia="Times New Roman"/>
          <w:lang w:val="en-GB"/>
        </w:rPr>
      </w:pPr>
      <w:r>
        <w:rPr>
          <w:lang w:val="en-GB"/>
        </w:rPr>
        <w:t xml:space="preserve">Their duties were different, </w:t>
      </w:r>
      <w:r w:rsidR="005C3636">
        <w:rPr>
          <w:lang w:val="en-GB"/>
        </w:rPr>
        <w:t>depending on</w:t>
      </w:r>
      <w:r>
        <w:rPr>
          <w:lang w:val="en-GB"/>
        </w:rPr>
        <w:t xml:space="preserve"> the daytim</w:t>
      </w:r>
      <w:r w:rsidR="00D81F21">
        <w:rPr>
          <w:lang w:val="en-GB"/>
        </w:rPr>
        <w:t xml:space="preserve">e: they worked in the bar, </w:t>
      </w:r>
      <w:r>
        <w:rPr>
          <w:lang w:val="en-GB"/>
        </w:rPr>
        <w:t>welcomed guests, served meals and</w:t>
      </w:r>
      <w:r w:rsidR="00044C43">
        <w:rPr>
          <w:lang w:val="en-GB"/>
        </w:rPr>
        <w:t xml:space="preserve"> sometim</w:t>
      </w:r>
      <w:r w:rsidR="00695EF7">
        <w:rPr>
          <w:lang w:val="en-GB"/>
        </w:rPr>
        <w:t>es (depending on the number of g</w:t>
      </w:r>
      <w:r w:rsidR="00044C43">
        <w:rPr>
          <w:lang w:val="en-GB"/>
        </w:rPr>
        <w:t>uests)</w:t>
      </w:r>
      <w:r>
        <w:rPr>
          <w:lang w:val="en-GB"/>
        </w:rPr>
        <w:t xml:space="preserve"> helped in the kitchen.</w:t>
      </w:r>
    </w:p>
    <w:p w14:paraId="2B758D27" w14:textId="2EC3D2D1" w:rsidR="00A348B3" w:rsidRDefault="00CF0D5F" w:rsidP="00A348B3">
      <w:pPr>
        <w:pStyle w:val="Lijstalinea"/>
        <w:numPr>
          <w:ilvl w:val="0"/>
          <w:numId w:val="9"/>
        </w:numPr>
        <w:spacing w:line="360" w:lineRule="auto"/>
        <w:jc w:val="both"/>
        <w:rPr>
          <w:lang w:val="en-GB"/>
        </w:rPr>
      </w:pPr>
      <w:r w:rsidRPr="00BB4387">
        <w:rPr>
          <w:lang w:val="en-GB"/>
        </w:rPr>
        <w:t>On 1</w:t>
      </w:r>
      <w:r w:rsidR="00044C43">
        <w:rPr>
          <w:lang w:val="en-GB"/>
        </w:rPr>
        <w:t>.11.</w:t>
      </w:r>
      <w:r w:rsidRPr="00BB4387">
        <w:rPr>
          <w:lang w:val="en-GB"/>
        </w:rPr>
        <w:t>2015 the owner of the real estate (the lessor) terminated the Employer X’s lease contract with 30 days of notice period and at the same time entered into a preliminary contract</w:t>
      </w:r>
      <w:r w:rsidR="00D81F21">
        <w:rPr>
          <w:lang w:val="en-GB"/>
        </w:rPr>
        <w:t xml:space="preserve"> with Company Y (the Defendant).</w:t>
      </w:r>
    </w:p>
    <w:p w14:paraId="70A35F82" w14:textId="09876F49" w:rsidR="00CF0D5F" w:rsidRPr="00A348B3" w:rsidRDefault="00A348B3" w:rsidP="00A348B3">
      <w:pPr>
        <w:pStyle w:val="Lijstalinea"/>
        <w:numPr>
          <w:ilvl w:val="0"/>
          <w:numId w:val="9"/>
        </w:numPr>
        <w:spacing w:line="360" w:lineRule="auto"/>
        <w:jc w:val="both"/>
        <w:rPr>
          <w:lang w:val="en-GB"/>
        </w:rPr>
      </w:pPr>
      <w:r w:rsidRPr="00BB4387">
        <w:rPr>
          <w:lang w:val="en-GB"/>
        </w:rPr>
        <w:t xml:space="preserve">The parties </w:t>
      </w:r>
      <w:r>
        <w:rPr>
          <w:lang w:val="en-GB"/>
        </w:rPr>
        <w:t>agreed t</w:t>
      </w:r>
      <w:r w:rsidRPr="00BB4387">
        <w:rPr>
          <w:lang w:val="en-GB"/>
        </w:rPr>
        <w:t>hat the lessor would give all equipment present at the kitchen to Company Y who will be free to decide whether to use it or get rid of it.</w:t>
      </w:r>
    </w:p>
    <w:p w14:paraId="0F1DC1B9" w14:textId="7459CCB4" w:rsidR="005A6B55" w:rsidRPr="005A6B55" w:rsidRDefault="00044C43" w:rsidP="005A6B55">
      <w:pPr>
        <w:pStyle w:val="Lijstalinea"/>
        <w:numPr>
          <w:ilvl w:val="0"/>
          <w:numId w:val="9"/>
        </w:numPr>
        <w:spacing w:line="360" w:lineRule="auto"/>
        <w:jc w:val="both"/>
        <w:rPr>
          <w:lang w:val="en-GB"/>
        </w:rPr>
      </w:pPr>
      <w:r>
        <w:rPr>
          <w:lang w:val="en-GB"/>
        </w:rPr>
        <w:t>On 10.11.</w:t>
      </w:r>
      <w:r w:rsidR="005A6B55" w:rsidRPr="00BB4387">
        <w:rPr>
          <w:lang w:val="en-GB"/>
        </w:rPr>
        <w:t xml:space="preserve">2015 Employer X terminated the employment relationship of 12 waiters, 2 cooks and chef, including the Plaintiffs. The reason for employment termination was the termination of the lease contract between the lessor and Employer X. </w:t>
      </w:r>
    </w:p>
    <w:p w14:paraId="2BF8F6DA" w14:textId="77FA6F49" w:rsidR="00462197" w:rsidRDefault="00C938D6" w:rsidP="005A6B55">
      <w:pPr>
        <w:pStyle w:val="Lijstalinea"/>
        <w:numPr>
          <w:ilvl w:val="0"/>
          <w:numId w:val="9"/>
        </w:numPr>
        <w:spacing w:line="360" w:lineRule="auto"/>
        <w:jc w:val="both"/>
        <w:rPr>
          <w:lang w:val="en-GB"/>
        </w:rPr>
      </w:pPr>
      <w:r>
        <w:rPr>
          <w:lang w:val="en-GB"/>
        </w:rPr>
        <w:t>On 01.01.</w:t>
      </w:r>
      <w:r w:rsidR="005A6B55" w:rsidRPr="00BB4387">
        <w:rPr>
          <w:lang w:val="en-GB"/>
        </w:rPr>
        <w:t>2016, in accordance with the preliminary contract between the lessor and Company Y, the parties signed the final lease contract.</w:t>
      </w:r>
    </w:p>
    <w:p w14:paraId="47776A4A" w14:textId="67E10F9B" w:rsidR="00A348B3" w:rsidRDefault="00A348B3" w:rsidP="005A6B55">
      <w:pPr>
        <w:pStyle w:val="Lijstalinea"/>
        <w:numPr>
          <w:ilvl w:val="0"/>
          <w:numId w:val="9"/>
        </w:numPr>
        <w:spacing w:line="360" w:lineRule="auto"/>
        <w:jc w:val="both"/>
        <w:rPr>
          <w:lang w:val="en-GB"/>
        </w:rPr>
      </w:pPr>
      <w:r>
        <w:rPr>
          <w:lang w:val="en-GB"/>
        </w:rPr>
        <w:t xml:space="preserve">Employment contracts between Plaintiffs and X terminated after </w:t>
      </w:r>
      <w:r w:rsidR="00C938D6">
        <w:rPr>
          <w:lang w:val="en-GB"/>
        </w:rPr>
        <w:t>01.01.</w:t>
      </w:r>
      <w:r>
        <w:rPr>
          <w:lang w:val="en-GB"/>
        </w:rPr>
        <w:t xml:space="preserve"> 2016.</w:t>
      </w:r>
    </w:p>
    <w:p w14:paraId="58B591EE" w14:textId="496C168F" w:rsidR="00F811DB" w:rsidRDefault="00044C43" w:rsidP="005A6B55">
      <w:pPr>
        <w:pStyle w:val="Lijstalinea"/>
        <w:numPr>
          <w:ilvl w:val="0"/>
          <w:numId w:val="9"/>
        </w:numPr>
        <w:spacing w:line="360" w:lineRule="auto"/>
        <w:jc w:val="both"/>
        <w:rPr>
          <w:lang w:val="en-GB"/>
        </w:rPr>
      </w:pPr>
      <w:r>
        <w:rPr>
          <w:lang w:val="en-GB"/>
        </w:rPr>
        <w:t>Company</w:t>
      </w:r>
      <w:r w:rsidR="00F811DB">
        <w:rPr>
          <w:lang w:val="en-GB"/>
        </w:rPr>
        <w:t xml:space="preserve"> Y conducted a</w:t>
      </w:r>
      <w:r w:rsidR="00D81F21" w:rsidRPr="00BB4387">
        <w:rPr>
          <w:lang w:val="en-GB"/>
        </w:rPr>
        <w:t xml:space="preserve"> </w:t>
      </w:r>
      <w:r w:rsidR="00F811DB">
        <w:rPr>
          <w:lang w:val="en-GB"/>
        </w:rPr>
        <w:t xml:space="preserve">renovation, </w:t>
      </w:r>
      <w:r w:rsidR="00D81F21" w:rsidRPr="00BB4387">
        <w:rPr>
          <w:lang w:val="en-GB"/>
        </w:rPr>
        <w:t xml:space="preserve">which </w:t>
      </w:r>
      <w:r w:rsidR="00F811DB">
        <w:rPr>
          <w:lang w:val="en-GB"/>
        </w:rPr>
        <w:t>lasted 3 months.</w:t>
      </w:r>
      <w:r w:rsidR="00267F1B">
        <w:rPr>
          <w:lang w:val="en-GB"/>
        </w:rPr>
        <w:t xml:space="preserve"> Altogether, </w:t>
      </w:r>
      <w:r w:rsidR="00632364">
        <w:rPr>
          <w:lang w:val="en-GB"/>
        </w:rPr>
        <w:t>all operation at the premises ceased for 4 months</w:t>
      </w:r>
      <w:r w:rsidR="00AB08F1">
        <w:rPr>
          <w:lang w:val="en-GB"/>
        </w:rPr>
        <w:t xml:space="preserve"> –</w:t>
      </w:r>
      <w:r w:rsidR="00267F1B">
        <w:rPr>
          <w:lang w:val="en-GB"/>
        </w:rPr>
        <w:t xml:space="preserve"> between 1.12.2015 and 2.04.2016.</w:t>
      </w:r>
    </w:p>
    <w:p w14:paraId="3730202C" w14:textId="3C616DA9" w:rsidR="00D81F21" w:rsidRDefault="00044C43" w:rsidP="005A6B55">
      <w:pPr>
        <w:pStyle w:val="Lijstalinea"/>
        <w:numPr>
          <w:ilvl w:val="0"/>
          <w:numId w:val="9"/>
        </w:numPr>
        <w:spacing w:line="360" w:lineRule="auto"/>
        <w:jc w:val="both"/>
        <w:rPr>
          <w:lang w:val="en-GB"/>
        </w:rPr>
      </w:pPr>
      <w:r>
        <w:rPr>
          <w:lang w:val="en-GB"/>
        </w:rPr>
        <w:t>Company</w:t>
      </w:r>
      <w:r w:rsidR="00F811DB">
        <w:rPr>
          <w:lang w:val="en-GB"/>
        </w:rPr>
        <w:t xml:space="preserve"> Y</w:t>
      </w:r>
      <w:r w:rsidR="00D81F21" w:rsidRPr="00BB4387">
        <w:rPr>
          <w:lang w:val="en-GB"/>
        </w:rPr>
        <w:t xml:space="preserve"> </w:t>
      </w:r>
      <w:r w:rsidR="00267F1B">
        <w:rPr>
          <w:lang w:val="en-GB"/>
        </w:rPr>
        <w:t xml:space="preserve">operates </w:t>
      </w:r>
      <w:r w:rsidR="00D81F21" w:rsidRPr="00BB4387">
        <w:rPr>
          <w:lang w:val="en-GB"/>
        </w:rPr>
        <w:t>an exclusive It</w:t>
      </w:r>
      <w:r w:rsidR="00C938D6">
        <w:rPr>
          <w:lang w:val="en-GB"/>
        </w:rPr>
        <w:t>alian restaurant and bar from 2.04.</w:t>
      </w:r>
      <w:r w:rsidR="00D81F21" w:rsidRPr="00BB4387">
        <w:rPr>
          <w:lang w:val="en-GB"/>
        </w:rPr>
        <w:t>2016.</w:t>
      </w:r>
    </w:p>
    <w:p w14:paraId="79C25EB7" w14:textId="30B894A2" w:rsidR="00F811DB" w:rsidRDefault="00F811DB" w:rsidP="005A6B55">
      <w:pPr>
        <w:pStyle w:val="Lijstalinea"/>
        <w:numPr>
          <w:ilvl w:val="0"/>
          <w:numId w:val="9"/>
        </w:numPr>
        <w:spacing w:line="360" w:lineRule="auto"/>
        <w:jc w:val="both"/>
        <w:rPr>
          <w:lang w:val="en-GB"/>
        </w:rPr>
      </w:pPr>
      <w:r>
        <w:rPr>
          <w:lang w:val="en-GB"/>
        </w:rPr>
        <w:lastRenderedPageBreak/>
        <w:t>A famous Italian chef was employed to head the kitchen at Y.</w:t>
      </w:r>
    </w:p>
    <w:p w14:paraId="3C84A0B4" w14:textId="77777777" w:rsidR="00044C43" w:rsidRDefault="00267F1B" w:rsidP="00044C43">
      <w:pPr>
        <w:pStyle w:val="Lijstalinea"/>
        <w:numPr>
          <w:ilvl w:val="0"/>
          <w:numId w:val="9"/>
        </w:numPr>
        <w:spacing w:line="360" w:lineRule="auto"/>
        <w:jc w:val="both"/>
        <w:rPr>
          <w:lang w:val="en-GB"/>
        </w:rPr>
      </w:pPr>
      <w:r>
        <w:rPr>
          <w:lang w:val="en-GB"/>
        </w:rPr>
        <w:t>Employer Y employed 5</w:t>
      </w:r>
      <w:r w:rsidR="00044C43">
        <w:rPr>
          <w:lang w:val="en-GB"/>
        </w:rPr>
        <w:t xml:space="preserve"> out of 12</w:t>
      </w:r>
      <w:r>
        <w:rPr>
          <w:lang w:val="en-GB"/>
        </w:rPr>
        <w:t xml:space="preserve"> waiters who had worked at X.</w:t>
      </w:r>
      <w:r w:rsidR="00044C43">
        <w:rPr>
          <w:lang w:val="en-GB"/>
        </w:rPr>
        <w:t xml:space="preserve"> Company Y employed other workers who had no previous contract with Employer X.</w:t>
      </w:r>
    </w:p>
    <w:p w14:paraId="42E20EB5" w14:textId="62C6044C" w:rsidR="00267F1B" w:rsidRPr="00044C43" w:rsidRDefault="00044C43" w:rsidP="00044C43">
      <w:pPr>
        <w:pStyle w:val="Lijstalinea"/>
        <w:numPr>
          <w:ilvl w:val="0"/>
          <w:numId w:val="9"/>
        </w:numPr>
        <w:spacing w:line="360" w:lineRule="auto"/>
        <w:jc w:val="both"/>
        <w:rPr>
          <w:lang w:val="en-GB"/>
        </w:rPr>
      </w:pPr>
      <w:r>
        <w:rPr>
          <w:lang w:val="en-GB"/>
        </w:rPr>
        <w:t>The labour contract be</w:t>
      </w:r>
      <w:r w:rsidR="00573B96">
        <w:rPr>
          <w:lang w:val="en-GB"/>
        </w:rPr>
        <w:t>tween Company Y and Plaintiff I</w:t>
      </w:r>
      <w:r>
        <w:rPr>
          <w:lang w:val="en-GB"/>
        </w:rPr>
        <w:t xml:space="preserve"> was established on 2</w:t>
      </w:r>
      <w:r w:rsidR="00573B96">
        <w:rPr>
          <w:lang w:val="en-GB"/>
        </w:rPr>
        <w:t>.04.</w:t>
      </w:r>
      <w:r>
        <w:rPr>
          <w:lang w:val="en-GB"/>
        </w:rPr>
        <w:t xml:space="preserve"> 2016, since that time the Plaintiff I gets salary from Company Y in the amount of </w:t>
      </w:r>
      <w:r w:rsidR="00573B96">
        <w:rPr>
          <w:lang w:val="en-GB"/>
        </w:rPr>
        <w:t xml:space="preserve">EUR </w:t>
      </w:r>
      <w:r>
        <w:rPr>
          <w:lang w:val="en-GB"/>
        </w:rPr>
        <w:t>1400</w:t>
      </w:r>
      <w:r w:rsidR="00573B96">
        <w:rPr>
          <w:lang w:val="en-GB"/>
        </w:rPr>
        <w:t>/</w:t>
      </w:r>
      <w:r>
        <w:rPr>
          <w:lang w:val="en-GB"/>
        </w:rPr>
        <w:t>month.</w:t>
      </w:r>
    </w:p>
    <w:p w14:paraId="578445E3" w14:textId="77777777" w:rsidR="005A6B55" w:rsidRDefault="005A6B55" w:rsidP="00462197">
      <w:pPr>
        <w:spacing w:line="360" w:lineRule="auto"/>
        <w:jc w:val="both"/>
        <w:rPr>
          <w:rFonts w:eastAsia="Times New Roman"/>
          <w:lang w:val="en-GB"/>
        </w:rPr>
      </w:pPr>
    </w:p>
    <w:p w14:paraId="62E90A5B" w14:textId="677542AC" w:rsidR="00CF0D5F" w:rsidRPr="009E593F" w:rsidRDefault="009E593F" w:rsidP="009E593F">
      <w:pPr>
        <w:pStyle w:val="Lijstalinea"/>
        <w:numPr>
          <w:ilvl w:val="0"/>
          <w:numId w:val="14"/>
        </w:numPr>
        <w:spacing w:line="360" w:lineRule="auto"/>
        <w:jc w:val="both"/>
        <w:rPr>
          <w:b/>
          <w:lang w:val="en-GB"/>
        </w:rPr>
      </w:pPr>
      <w:r>
        <w:rPr>
          <w:b/>
          <w:lang w:val="en-GB"/>
        </w:rPr>
        <w:t xml:space="preserve">Ad claim 2 - </w:t>
      </w:r>
      <w:r w:rsidRPr="009E593F">
        <w:rPr>
          <w:b/>
          <w:i/>
          <w:lang w:val="en-GB"/>
        </w:rPr>
        <w:t>The Defendant states that they are not obliged to</w:t>
      </w:r>
      <w:r>
        <w:rPr>
          <w:b/>
          <w:lang w:val="en-GB"/>
        </w:rPr>
        <w:t xml:space="preserve"> </w:t>
      </w:r>
      <w:r w:rsidR="00CF0D5F" w:rsidRPr="00220E38">
        <w:rPr>
          <w:b/>
          <w:i/>
          <w:lang w:val="en-GB"/>
        </w:rPr>
        <w:t xml:space="preserve">pay </w:t>
      </w:r>
      <w:r w:rsidR="007373CF">
        <w:rPr>
          <w:b/>
          <w:i/>
          <w:lang w:val="en-GB"/>
        </w:rPr>
        <w:t>P</w:t>
      </w:r>
      <w:r w:rsidR="0065001E">
        <w:rPr>
          <w:b/>
          <w:i/>
          <w:lang w:val="en-GB"/>
        </w:rPr>
        <w:t xml:space="preserve">laintiff </w:t>
      </w:r>
      <w:r w:rsidR="007373CF">
        <w:rPr>
          <w:b/>
          <w:i/>
          <w:lang w:val="en-GB"/>
        </w:rPr>
        <w:t>I</w:t>
      </w:r>
      <w:r w:rsidR="0065001E">
        <w:rPr>
          <w:b/>
          <w:i/>
          <w:lang w:val="en-GB"/>
        </w:rPr>
        <w:t>’s</w:t>
      </w:r>
      <w:r w:rsidR="00CF0D5F" w:rsidRPr="00220E38">
        <w:rPr>
          <w:b/>
          <w:i/>
          <w:lang w:val="en-GB"/>
        </w:rPr>
        <w:t xml:space="preserve"> jubilee award</w:t>
      </w:r>
      <w:r w:rsidR="002926A6">
        <w:rPr>
          <w:b/>
          <w:i/>
          <w:lang w:val="en-GB"/>
        </w:rPr>
        <w:t>.</w:t>
      </w:r>
    </w:p>
    <w:p w14:paraId="6511F592" w14:textId="785B1EF9" w:rsidR="009E593F" w:rsidRPr="009E593F" w:rsidRDefault="009E593F" w:rsidP="009E593F">
      <w:pPr>
        <w:pStyle w:val="Lijstalinea"/>
        <w:spacing w:line="360" w:lineRule="auto"/>
        <w:jc w:val="both"/>
        <w:rPr>
          <w:rFonts w:eastAsia="Times New Roman"/>
          <w:lang w:val="en-GB"/>
        </w:rPr>
      </w:pPr>
      <w:r>
        <w:rPr>
          <w:rFonts w:eastAsia="Times New Roman"/>
          <w:lang w:val="en-GB"/>
        </w:rPr>
        <w:t>The facts listed above in sec. 1 and additionally:</w:t>
      </w:r>
    </w:p>
    <w:p w14:paraId="3C215115" w14:textId="4232CB37" w:rsidR="00CF0D5F" w:rsidRPr="00BB4387" w:rsidRDefault="00CF0D5F" w:rsidP="00CF0D5F">
      <w:pPr>
        <w:pStyle w:val="Lijstalinea"/>
        <w:numPr>
          <w:ilvl w:val="0"/>
          <w:numId w:val="9"/>
        </w:numPr>
        <w:spacing w:line="360" w:lineRule="auto"/>
        <w:jc w:val="both"/>
        <w:rPr>
          <w:rFonts w:eastAsia="Times New Roman"/>
          <w:lang w:val="en-GB"/>
        </w:rPr>
      </w:pPr>
      <w:r w:rsidRPr="00CF0D5F">
        <w:rPr>
          <w:lang w:val="en-GB"/>
        </w:rPr>
        <w:t>Employer</w:t>
      </w:r>
      <w:r w:rsidRPr="00BB4387">
        <w:rPr>
          <w:bCs/>
          <w:lang w:val="en-GB"/>
        </w:rPr>
        <w:t xml:space="preserve"> X employed </w:t>
      </w:r>
      <w:r w:rsidR="0065001E">
        <w:rPr>
          <w:bCs/>
          <w:lang w:val="en-GB"/>
        </w:rPr>
        <w:t>Plaintiff I</w:t>
      </w:r>
      <w:r w:rsidR="00C938D6">
        <w:rPr>
          <w:bCs/>
          <w:lang w:val="en-GB"/>
        </w:rPr>
        <w:t xml:space="preserve"> from 01.01.</w:t>
      </w:r>
      <w:r w:rsidRPr="00BB4387">
        <w:rPr>
          <w:bCs/>
          <w:lang w:val="en-GB"/>
        </w:rPr>
        <w:t>1996</w:t>
      </w:r>
      <w:r w:rsidRPr="00BB4387">
        <w:rPr>
          <w:lang w:val="en-GB"/>
        </w:rPr>
        <w:t>.</w:t>
      </w:r>
    </w:p>
    <w:p w14:paraId="008DA0E7" w14:textId="037B76E5" w:rsidR="00CF0D5F" w:rsidRPr="00BB4387" w:rsidRDefault="00C938D6" w:rsidP="00CF0D5F">
      <w:pPr>
        <w:pStyle w:val="Lijstalinea"/>
        <w:numPr>
          <w:ilvl w:val="0"/>
          <w:numId w:val="9"/>
        </w:numPr>
        <w:spacing w:line="360" w:lineRule="auto"/>
        <w:jc w:val="both"/>
        <w:rPr>
          <w:lang w:val="en-GB"/>
        </w:rPr>
      </w:pPr>
      <w:r>
        <w:rPr>
          <w:lang w:val="en-GB"/>
        </w:rPr>
        <w:t>On the 01.01.</w:t>
      </w:r>
      <w:r w:rsidR="00CF0D5F" w:rsidRPr="00BB4387">
        <w:rPr>
          <w:lang w:val="en-GB"/>
        </w:rPr>
        <w:t>2016,</w:t>
      </w:r>
      <w:r w:rsidR="00CF0D5F">
        <w:rPr>
          <w:lang w:val="en-GB"/>
        </w:rPr>
        <w:t xml:space="preserve"> the </w:t>
      </w:r>
      <w:r w:rsidR="0065001E">
        <w:rPr>
          <w:lang w:val="en-GB"/>
        </w:rPr>
        <w:t>Plaintiff I</w:t>
      </w:r>
      <w:r w:rsidR="00AB08F1">
        <w:rPr>
          <w:lang w:val="en-GB"/>
        </w:rPr>
        <w:t xml:space="preserve"> reached </w:t>
      </w:r>
      <w:r w:rsidR="00CF0D5F" w:rsidRPr="00BB4387">
        <w:rPr>
          <w:lang w:val="en-GB"/>
        </w:rPr>
        <w:t>20 years of seniority.</w:t>
      </w:r>
    </w:p>
    <w:p w14:paraId="09176E24" w14:textId="30C1630C" w:rsidR="00CF0D5F" w:rsidRPr="005A6B55" w:rsidRDefault="005A6B55" w:rsidP="005A6B55">
      <w:pPr>
        <w:pStyle w:val="Lijstalinea"/>
        <w:numPr>
          <w:ilvl w:val="0"/>
          <w:numId w:val="9"/>
        </w:numPr>
        <w:spacing w:line="360" w:lineRule="auto"/>
        <w:jc w:val="both"/>
        <w:rPr>
          <w:rFonts w:eastAsia="Times New Roman"/>
          <w:lang w:val="en-GB"/>
        </w:rPr>
      </w:pPr>
      <w:r>
        <w:rPr>
          <w:lang w:val="en-GB"/>
        </w:rPr>
        <w:t xml:space="preserve">During the meeting on 15.12.2015, </w:t>
      </w:r>
      <w:r w:rsidRPr="00BB4387">
        <w:rPr>
          <w:lang w:val="en-GB"/>
        </w:rPr>
        <w:t>Defendant Y informed the employees about the collective agreement being in force at his enterprise and explained that it did not provide any jubilee award.</w:t>
      </w:r>
    </w:p>
    <w:p w14:paraId="61337670" w14:textId="619FB03F" w:rsidR="005A6B55" w:rsidRPr="005A6B55" w:rsidRDefault="005A6B55" w:rsidP="005A6B55">
      <w:pPr>
        <w:pStyle w:val="Lijstalinea"/>
        <w:numPr>
          <w:ilvl w:val="0"/>
          <w:numId w:val="9"/>
        </w:numPr>
        <w:spacing w:line="360" w:lineRule="auto"/>
        <w:jc w:val="both"/>
        <w:rPr>
          <w:lang w:val="en-GB"/>
        </w:rPr>
      </w:pPr>
      <w:r w:rsidRPr="00BB4387">
        <w:rPr>
          <w:lang w:val="en-GB"/>
        </w:rPr>
        <w:t>31</w:t>
      </w:r>
      <w:r w:rsidR="00C938D6">
        <w:rPr>
          <w:lang w:val="en-GB"/>
        </w:rPr>
        <w:t>.12.</w:t>
      </w:r>
      <w:r w:rsidRPr="00BB4387">
        <w:rPr>
          <w:lang w:val="en-GB"/>
        </w:rPr>
        <w:t>2015 was the last day when the Employer X’s old collective agreement being in force. This collective agreement was concluded with the Trade Union A and contained the jubilee award clause providing the right to a 3 months’ wage after 20 years of service time.</w:t>
      </w:r>
    </w:p>
    <w:p w14:paraId="0AD1D19F" w14:textId="64B8BE0D" w:rsidR="005A6B55" w:rsidRPr="005A6B55" w:rsidRDefault="005A6B55" w:rsidP="005A6B55">
      <w:pPr>
        <w:pStyle w:val="Lijstalinea"/>
        <w:numPr>
          <w:ilvl w:val="0"/>
          <w:numId w:val="9"/>
        </w:numPr>
        <w:spacing w:line="360" w:lineRule="auto"/>
        <w:jc w:val="both"/>
        <w:rPr>
          <w:lang w:val="en-GB"/>
        </w:rPr>
      </w:pPr>
      <w:r w:rsidRPr="00BB4387">
        <w:rPr>
          <w:lang w:val="en-GB"/>
        </w:rPr>
        <w:t xml:space="preserve">On the </w:t>
      </w:r>
      <w:r w:rsidR="00C938D6">
        <w:rPr>
          <w:lang w:val="en-GB"/>
        </w:rPr>
        <w:t>01.01.</w:t>
      </w:r>
      <w:r w:rsidRPr="00BB4387">
        <w:rPr>
          <w:lang w:val="en-GB"/>
        </w:rPr>
        <w:t>2016, the new collective agreement between Employer X and Trade Union A entered into force. This collective agreement guaranteed the jubilee award of 4 months’ wage.</w:t>
      </w:r>
    </w:p>
    <w:p w14:paraId="06017E42" w14:textId="77777777" w:rsidR="005A6B55" w:rsidRDefault="005A6B55" w:rsidP="005A6B55">
      <w:pPr>
        <w:pStyle w:val="Lijstalinea"/>
        <w:spacing w:line="360" w:lineRule="auto"/>
        <w:ind w:left="1440"/>
        <w:jc w:val="both"/>
        <w:rPr>
          <w:rFonts w:eastAsia="Times New Roman"/>
          <w:lang w:val="en-GB"/>
        </w:rPr>
      </w:pPr>
    </w:p>
    <w:p w14:paraId="7D02407C" w14:textId="3D8970AC" w:rsidR="00462197" w:rsidRPr="009E593F" w:rsidRDefault="00CF0D5F" w:rsidP="009E593F">
      <w:pPr>
        <w:pStyle w:val="Lijstalinea"/>
        <w:numPr>
          <w:ilvl w:val="0"/>
          <w:numId w:val="14"/>
        </w:numPr>
        <w:spacing w:line="360" w:lineRule="auto"/>
        <w:jc w:val="both"/>
        <w:rPr>
          <w:rFonts w:eastAsia="Times New Roman"/>
          <w:b/>
          <w:lang w:val="en-GB"/>
        </w:rPr>
      </w:pPr>
      <w:r w:rsidRPr="00220E38">
        <w:rPr>
          <w:b/>
          <w:lang w:val="en-GB"/>
        </w:rPr>
        <w:t xml:space="preserve">Ad claim 3 </w:t>
      </w:r>
      <w:r w:rsidR="009E593F">
        <w:rPr>
          <w:b/>
          <w:lang w:val="en-GB"/>
        </w:rPr>
        <w:t xml:space="preserve">– </w:t>
      </w:r>
      <w:r w:rsidR="009E593F" w:rsidRPr="00352E06">
        <w:rPr>
          <w:b/>
          <w:i/>
          <w:lang w:val="en-GB"/>
        </w:rPr>
        <w:t>The Defendant states that there was no duty to co-operate with Trade Union A and the co-operation with Trade Union A was a gesture of his goodwill.</w:t>
      </w:r>
      <w:r w:rsidR="009E593F">
        <w:rPr>
          <w:b/>
          <w:lang w:val="en-GB"/>
        </w:rPr>
        <w:t xml:space="preserve">   </w:t>
      </w:r>
    </w:p>
    <w:p w14:paraId="223BD26B" w14:textId="4D153FD3" w:rsidR="009E593F" w:rsidRPr="009E593F" w:rsidRDefault="009E593F" w:rsidP="009E593F">
      <w:pPr>
        <w:pStyle w:val="Lijstalinea"/>
        <w:spacing w:line="360" w:lineRule="auto"/>
        <w:jc w:val="both"/>
        <w:rPr>
          <w:rFonts w:eastAsia="Times New Roman"/>
          <w:lang w:val="en-GB"/>
        </w:rPr>
      </w:pPr>
      <w:r>
        <w:rPr>
          <w:rFonts w:eastAsia="Times New Roman"/>
          <w:lang w:val="en-GB"/>
        </w:rPr>
        <w:t>The facts listed above in sec. 1 and additionally:</w:t>
      </w:r>
    </w:p>
    <w:p w14:paraId="6FB623D1" w14:textId="433E5B6B" w:rsidR="005A6B55" w:rsidRDefault="00267F1B" w:rsidP="00267F1B">
      <w:pPr>
        <w:pStyle w:val="Lijstalinea"/>
        <w:numPr>
          <w:ilvl w:val="0"/>
          <w:numId w:val="9"/>
        </w:numPr>
        <w:spacing w:line="360" w:lineRule="auto"/>
        <w:jc w:val="both"/>
        <w:rPr>
          <w:rFonts w:eastAsia="Times New Roman"/>
          <w:lang w:val="en-GB"/>
        </w:rPr>
      </w:pPr>
      <w:r>
        <w:rPr>
          <w:rFonts w:eastAsia="Times New Roman"/>
          <w:lang w:val="en-GB"/>
        </w:rPr>
        <w:t>Employer Y did not inform</w:t>
      </w:r>
      <w:r w:rsidR="00A86FD1">
        <w:rPr>
          <w:rFonts w:eastAsia="Times New Roman"/>
          <w:lang w:val="en-GB"/>
        </w:rPr>
        <w:t xml:space="preserve"> the</w:t>
      </w:r>
      <w:r>
        <w:rPr>
          <w:rFonts w:eastAsia="Times New Roman"/>
          <w:lang w:val="en-GB"/>
        </w:rPr>
        <w:t xml:space="preserve"> Trade Union A</w:t>
      </w:r>
      <w:r w:rsidR="009E593F">
        <w:rPr>
          <w:rFonts w:eastAsia="Times New Roman"/>
          <w:lang w:val="en-GB"/>
        </w:rPr>
        <w:t>, operating at Employer X,</w:t>
      </w:r>
      <w:r>
        <w:rPr>
          <w:rFonts w:eastAsia="Times New Roman"/>
          <w:lang w:val="en-GB"/>
        </w:rPr>
        <w:t xml:space="preserve"> about the meeting </w:t>
      </w:r>
      <w:r w:rsidR="00A86FD1">
        <w:rPr>
          <w:rFonts w:eastAsia="Times New Roman"/>
          <w:lang w:val="en-GB"/>
        </w:rPr>
        <w:t>held on 15.12.2015</w:t>
      </w:r>
      <w:r>
        <w:rPr>
          <w:rFonts w:eastAsia="Times New Roman"/>
          <w:lang w:val="en-GB"/>
        </w:rPr>
        <w:t>.</w:t>
      </w:r>
    </w:p>
    <w:p w14:paraId="40FCAEEE" w14:textId="60C6D877" w:rsidR="00A86FD1" w:rsidRDefault="0065001E" w:rsidP="00267F1B">
      <w:pPr>
        <w:pStyle w:val="Lijstalinea"/>
        <w:numPr>
          <w:ilvl w:val="0"/>
          <w:numId w:val="9"/>
        </w:numPr>
        <w:spacing w:line="360" w:lineRule="auto"/>
        <w:jc w:val="both"/>
        <w:rPr>
          <w:rFonts w:eastAsia="Times New Roman"/>
          <w:lang w:val="en-GB"/>
        </w:rPr>
      </w:pPr>
      <w:r>
        <w:rPr>
          <w:rFonts w:eastAsia="Times New Roman"/>
          <w:lang w:val="en-GB"/>
        </w:rPr>
        <w:t>Plaintiff I</w:t>
      </w:r>
      <w:r w:rsidR="00A86FD1">
        <w:rPr>
          <w:rFonts w:eastAsia="Times New Roman"/>
          <w:lang w:val="en-GB"/>
        </w:rPr>
        <w:t xml:space="preserve"> – a representative of the Trade Union A – was present at the meeting.</w:t>
      </w:r>
    </w:p>
    <w:p w14:paraId="273E0DF8" w14:textId="451A4593" w:rsidR="00267F1B" w:rsidRDefault="00267F1B" w:rsidP="00267F1B">
      <w:pPr>
        <w:pStyle w:val="Lijstalinea"/>
        <w:numPr>
          <w:ilvl w:val="0"/>
          <w:numId w:val="9"/>
        </w:numPr>
        <w:spacing w:line="360" w:lineRule="auto"/>
        <w:jc w:val="both"/>
        <w:rPr>
          <w:rFonts w:eastAsia="Times New Roman"/>
          <w:lang w:val="en-GB"/>
        </w:rPr>
      </w:pPr>
      <w:r>
        <w:rPr>
          <w:rFonts w:eastAsia="Times New Roman"/>
          <w:lang w:val="en-GB"/>
        </w:rPr>
        <w:t>Employer Y requested Trade Union B (which operates at Y) to inform Trade Union A about the most important facts and decisions.</w:t>
      </w:r>
    </w:p>
    <w:p w14:paraId="5E6ADFD8" w14:textId="77777777" w:rsidR="00267F1B" w:rsidRDefault="00267F1B" w:rsidP="00267F1B">
      <w:pPr>
        <w:pStyle w:val="Lijstalinea"/>
        <w:spacing w:line="360" w:lineRule="auto"/>
        <w:ind w:left="1440"/>
        <w:jc w:val="both"/>
        <w:rPr>
          <w:rFonts w:eastAsia="Times New Roman"/>
          <w:lang w:val="en-GB"/>
        </w:rPr>
      </w:pPr>
    </w:p>
    <w:p w14:paraId="4D708057" w14:textId="0BFB8E30" w:rsidR="005A6B55" w:rsidRPr="009E593F" w:rsidRDefault="00CF0D5F" w:rsidP="009E593F">
      <w:pPr>
        <w:pStyle w:val="Lijstalinea"/>
        <w:numPr>
          <w:ilvl w:val="0"/>
          <w:numId w:val="14"/>
        </w:numPr>
        <w:spacing w:line="360" w:lineRule="auto"/>
        <w:ind w:left="714" w:hanging="357"/>
        <w:jc w:val="both"/>
        <w:rPr>
          <w:b/>
          <w:lang w:val="en-GB"/>
        </w:rPr>
      </w:pPr>
      <w:r w:rsidRPr="00220E38">
        <w:rPr>
          <w:b/>
          <w:lang w:val="en-GB"/>
        </w:rPr>
        <w:t xml:space="preserve">Ad claim 4 </w:t>
      </w:r>
      <w:r w:rsidR="009E593F">
        <w:rPr>
          <w:b/>
          <w:lang w:val="en-GB"/>
        </w:rPr>
        <w:t xml:space="preserve">– </w:t>
      </w:r>
      <w:r w:rsidR="009E593F" w:rsidRPr="00352E06">
        <w:rPr>
          <w:b/>
          <w:i/>
          <w:lang w:val="en-GB"/>
        </w:rPr>
        <w:t>The Defendant states that the Plaintiff II did not suffer age discrimination</w:t>
      </w:r>
      <w:r w:rsidR="00352E06">
        <w:rPr>
          <w:b/>
          <w:i/>
          <w:lang w:val="en-GB"/>
        </w:rPr>
        <w:t>.</w:t>
      </w:r>
    </w:p>
    <w:p w14:paraId="6A9F9FFD" w14:textId="7C96C654" w:rsidR="009E593F" w:rsidRPr="009E593F" w:rsidRDefault="009E593F" w:rsidP="009E593F">
      <w:pPr>
        <w:pStyle w:val="Lijstalinea"/>
        <w:numPr>
          <w:ilvl w:val="0"/>
          <w:numId w:val="9"/>
        </w:numPr>
        <w:spacing w:line="360" w:lineRule="auto"/>
        <w:jc w:val="both"/>
        <w:rPr>
          <w:lang w:val="en-GB"/>
        </w:rPr>
      </w:pPr>
      <w:r>
        <w:rPr>
          <w:lang w:val="en-GB"/>
        </w:rPr>
        <w:lastRenderedPageBreak/>
        <w:t>Company Y opened an exclusive Italian restaurant and bar in Budapest and hired  a famous Italian chief to head kitchen.</w:t>
      </w:r>
    </w:p>
    <w:p w14:paraId="4F2139F4" w14:textId="5F4E36C4" w:rsidR="005A6B55" w:rsidRPr="005A6B55" w:rsidRDefault="005A6B55" w:rsidP="005A6B55">
      <w:pPr>
        <w:pStyle w:val="Lijstalinea"/>
        <w:numPr>
          <w:ilvl w:val="0"/>
          <w:numId w:val="9"/>
        </w:numPr>
        <w:spacing w:line="360" w:lineRule="auto"/>
        <w:jc w:val="both"/>
        <w:rPr>
          <w:lang w:val="en-GB"/>
        </w:rPr>
      </w:pPr>
      <w:r w:rsidRPr="00BB4387">
        <w:rPr>
          <w:lang w:val="en-GB"/>
        </w:rPr>
        <w:t>On 15</w:t>
      </w:r>
      <w:r w:rsidR="00C938D6">
        <w:rPr>
          <w:lang w:val="en-GB"/>
        </w:rPr>
        <w:t>.12.</w:t>
      </w:r>
      <w:r w:rsidRPr="00BB4387">
        <w:rPr>
          <w:lang w:val="en-GB"/>
        </w:rPr>
        <w:t xml:space="preserve"> 2015 Company Y held a general meeting for the waiters and cooks, where the Company Y informed that they would employ 5 waiters. </w:t>
      </w:r>
    </w:p>
    <w:p w14:paraId="39890DC6" w14:textId="3DD9B724" w:rsidR="005A6B55" w:rsidRPr="007A3B8C" w:rsidRDefault="005A6B55" w:rsidP="007A3B8C">
      <w:pPr>
        <w:pStyle w:val="Lijstalinea"/>
        <w:numPr>
          <w:ilvl w:val="0"/>
          <w:numId w:val="9"/>
        </w:numPr>
        <w:spacing w:line="360" w:lineRule="auto"/>
        <w:jc w:val="both"/>
        <w:rPr>
          <w:lang w:val="en-GB"/>
        </w:rPr>
      </w:pPr>
      <w:r w:rsidRPr="00BB4387">
        <w:rPr>
          <w:lang w:val="en-GB"/>
        </w:rPr>
        <w:t>On 2</w:t>
      </w:r>
      <w:r w:rsidR="00C938D6">
        <w:rPr>
          <w:lang w:val="en-GB"/>
        </w:rPr>
        <w:t>.04.</w:t>
      </w:r>
      <w:r w:rsidRPr="00BB4387">
        <w:rPr>
          <w:lang w:val="en-GB"/>
        </w:rPr>
        <w:t xml:space="preserve">2016, the Company Y opened the restaurant. </w:t>
      </w:r>
      <w:r w:rsidR="0065001E">
        <w:rPr>
          <w:lang w:val="en-GB"/>
        </w:rPr>
        <w:t xml:space="preserve">Plaintiff I </w:t>
      </w:r>
      <w:r>
        <w:rPr>
          <w:lang w:val="en-GB"/>
        </w:rPr>
        <w:t>and 4 other former employees of X</w:t>
      </w:r>
      <w:r w:rsidRPr="00BB4387">
        <w:rPr>
          <w:lang w:val="en-GB"/>
        </w:rPr>
        <w:t xml:space="preserve"> worked for Company Y beginning from that date.</w:t>
      </w:r>
    </w:p>
    <w:p w14:paraId="1710A7F1" w14:textId="77777777" w:rsidR="00EA0BB2" w:rsidRPr="00AA64AE" w:rsidRDefault="00EA0BB2" w:rsidP="00FA6861">
      <w:pPr>
        <w:pStyle w:val="Kop2"/>
        <w:rPr>
          <w:lang w:val="en-GB"/>
        </w:rPr>
      </w:pPr>
    </w:p>
    <w:p w14:paraId="0FCF27F4" w14:textId="6140F5E9" w:rsidR="00451616" w:rsidRPr="00AA64AE" w:rsidRDefault="00451616">
      <w:pPr>
        <w:rPr>
          <w:lang w:val="en-GB"/>
        </w:rPr>
      </w:pPr>
      <w:r w:rsidRPr="00AA64AE">
        <w:rPr>
          <w:lang w:val="en-GB"/>
        </w:rPr>
        <w:br w:type="page"/>
      </w:r>
    </w:p>
    <w:p w14:paraId="085B3DA8" w14:textId="7067DDED" w:rsidR="00531117" w:rsidRPr="00AA64AE" w:rsidRDefault="00451616" w:rsidP="00FA6861">
      <w:pPr>
        <w:pStyle w:val="Kop2"/>
        <w:rPr>
          <w:lang w:val="en-GB"/>
        </w:rPr>
      </w:pPr>
      <w:bookmarkStart w:id="16" w:name="_Toc480403680"/>
      <w:bookmarkStart w:id="17" w:name="_Toc480403822"/>
      <w:bookmarkStart w:id="18" w:name="_Toc481400973"/>
      <w:r w:rsidRPr="00AA64AE">
        <w:rPr>
          <w:lang w:val="en-GB"/>
        </w:rPr>
        <w:lastRenderedPageBreak/>
        <w:t>DESCRIPTION OF RELEVANT LEGISLATION</w:t>
      </w:r>
      <w:bookmarkEnd w:id="16"/>
      <w:bookmarkEnd w:id="17"/>
      <w:bookmarkEnd w:id="18"/>
    </w:p>
    <w:p w14:paraId="57B868F8" w14:textId="77777777" w:rsidR="007C734F" w:rsidRDefault="007C734F" w:rsidP="00451616">
      <w:pPr>
        <w:spacing w:line="360" w:lineRule="auto"/>
        <w:rPr>
          <w:lang w:val="en-GB"/>
        </w:rPr>
      </w:pPr>
    </w:p>
    <w:p w14:paraId="282875F9" w14:textId="5D0CC8B8" w:rsidR="00AC7B5D" w:rsidRPr="00220E38" w:rsidRDefault="00220E38" w:rsidP="00AC7B5D">
      <w:pPr>
        <w:pStyle w:val="Lijstalinea"/>
        <w:numPr>
          <w:ilvl w:val="0"/>
          <w:numId w:val="33"/>
        </w:numPr>
        <w:spacing w:line="360" w:lineRule="auto"/>
        <w:rPr>
          <w:b/>
          <w:lang w:val="en-GB"/>
        </w:rPr>
      </w:pPr>
      <w:r w:rsidRPr="00220E38">
        <w:rPr>
          <w:b/>
          <w:lang w:val="en-GB"/>
        </w:rPr>
        <w:t>Ad claim 1</w:t>
      </w:r>
    </w:p>
    <w:p w14:paraId="4A41A043" w14:textId="77777777" w:rsidR="005D26CD" w:rsidRPr="00E02D49" w:rsidRDefault="005D26CD" w:rsidP="005D26CD">
      <w:pPr>
        <w:pStyle w:val="Lijstalinea"/>
        <w:spacing w:line="360" w:lineRule="auto"/>
        <w:rPr>
          <w:lang w:val="en-GB"/>
        </w:rPr>
      </w:pPr>
    </w:p>
    <w:p w14:paraId="1522F071" w14:textId="6C021862" w:rsidR="00531117" w:rsidRDefault="007C734F" w:rsidP="005D26CD">
      <w:pPr>
        <w:spacing w:line="360" w:lineRule="auto"/>
        <w:ind w:left="708"/>
        <w:jc w:val="both"/>
        <w:rPr>
          <w:lang w:val="en-GB"/>
        </w:rPr>
      </w:pPr>
      <w:r>
        <w:rPr>
          <w:lang w:val="en-GB"/>
        </w:rPr>
        <w:t>The 2001/23 Directive sets out the employee rights and obligations of transferors and transferees in case of transfer of undertaking or a part thereof.</w:t>
      </w:r>
    </w:p>
    <w:p w14:paraId="25344E34" w14:textId="5EA33BBB" w:rsidR="007C734F" w:rsidRDefault="00871BD9" w:rsidP="005D26CD">
      <w:pPr>
        <w:spacing w:line="360" w:lineRule="auto"/>
        <w:ind w:left="720"/>
        <w:rPr>
          <w:lang w:val="en-GB"/>
        </w:rPr>
      </w:pPr>
      <w:r>
        <w:rPr>
          <w:lang w:val="en-GB"/>
        </w:rPr>
        <w:t>The a</w:t>
      </w:r>
      <w:r w:rsidR="007C734F">
        <w:rPr>
          <w:lang w:val="en-GB"/>
        </w:rPr>
        <w:t>rt. 1 of the Directive provides conditions which must be met in order to conclude that there has been a transfer of undertaking or a part thereof.</w:t>
      </w:r>
    </w:p>
    <w:p w14:paraId="0DC9CCA2" w14:textId="77777777" w:rsidR="007C734F" w:rsidRDefault="007C734F" w:rsidP="00451616">
      <w:pPr>
        <w:spacing w:line="360" w:lineRule="auto"/>
        <w:rPr>
          <w:lang w:val="en-GB"/>
        </w:rPr>
      </w:pPr>
    </w:p>
    <w:p w14:paraId="2D1CAABB" w14:textId="62A8F9D4" w:rsidR="007C734F" w:rsidRPr="007C734F" w:rsidRDefault="007C734F" w:rsidP="007C734F">
      <w:pPr>
        <w:pStyle w:val="Lijstalinea"/>
        <w:spacing w:line="360" w:lineRule="auto"/>
        <w:jc w:val="both"/>
        <w:rPr>
          <w:b/>
          <w:u w:val="single"/>
          <w:lang w:val="en-GB"/>
        </w:rPr>
      </w:pPr>
      <w:r w:rsidRPr="007C734F">
        <w:rPr>
          <w:b/>
          <w:u w:val="single"/>
          <w:lang w:val="en-GB"/>
        </w:rPr>
        <w:t>Article 1 of the 2001/23 Directive</w:t>
      </w:r>
    </w:p>
    <w:p w14:paraId="3FCE8035" w14:textId="48E7E851" w:rsidR="007C734F" w:rsidRPr="007C734F" w:rsidRDefault="007C734F" w:rsidP="007C734F">
      <w:pPr>
        <w:pStyle w:val="Lijstalinea"/>
        <w:spacing w:line="360" w:lineRule="auto"/>
        <w:jc w:val="both"/>
        <w:rPr>
          <w:i/>
          <w:lang w:val="en-GB"/>
        </w:rPr>
      </w:pPr>
      <w:r w:rsidRPr="007C734F">
        <w:rPr>
          <w:i/>
          <w:lang w:val="en-GB"/>
        </w:rPr>
        <w:t xml:space="preserve">1. (a) This Directive shall apply to any transfer of an undertaking, business, or part of an undertaking or business to another employer </w:t>
      </w:r>
      <w:r w:rsidRPr="007C734F">
        <w:rPr>
          <w:b/>
          <w:i/>
          <w:lang w:val="en-GB"/>
        </w:rPr>
        <w:t>as a result of a legal transfer or merger</w:t>
      </w:r>
      <w:r w:rsidRPr="007C734F">
        <w:rPr>
          <w:i/>
          <w:lang w:val="en-GB"/>
        </w:rPr>
        <w:t>.</w:t>
      </w:r>
    </w:p>
    <w:p w14:paraId="70193489" w14:textId="77777777" w:rsidR="007C734F" w:rsidRPr="007C734F" w:rsidRDefault="007C734F" w:rsidP="007C734F">
      <w:pPr>
        <w:pStyle w:val="Lijstalinea"/>
        <w:spacing w:line="360" w:lineRule="auto"/>
        <w:jc w:val="both"/>
        <w:rPr>
          <w:i/>
          <w:lang w:val="en-GB"/>
        </w:rPr>
      </w:pPr>
      <w:r w:rsidRPr="007C734F">
        <w:rPr>
          <w:i/>
          <w:lang w:val="en-GB"/>
        </w:rPr>
        <w:t xml:space="preserve">(b) Subject to subparagraph (a) and the following provisions of this Article, there is a transfer within the meaning of this Directive where there is a transfer of an economic entity </w:t>
      </w:r>
      <w:r w:rsidRPr="007C734F">
        <w:rPr>
          <w:b/>
          <w:i/>
          <w:lang w:val="en-GB"/>
        </w:rPr>
        <w:t>which retains its identity, meaning an organised grouping of resources which has the objective of pursuing an economic activity, whether or not that activity is central or ancillary</w:t>
      </w:r>
      <w:r w:rsidRPr="007C734F">
        <w:rPr>
          <w:i/>
          <w:lang w:val="en-GB"/>
        </w:rPr>
        <w:t>.</w:t>
      </w:r>
    </w:p>
    <w:p w14:paraId="12017052" w14:textId="60263958" w:rsidR="007C734F" w:rsidRPr="007C734F" w:rsidRDefault="006E1E25" w:rsidP="007C734F">
      <w:pPr>
        <w:pStyle w:val="Lijstalinea"/>
        <w:spacing w:line="360" w:lineRule="auto"/>
        <w:jc w:val="both"/>
        <w:rPr>
          <w:i/>
          <w:lang w:val="en-GB"/>
        </w:rPr>
      </w:pPr>
      <w:r>
        <w:rPr>
          <w:i/>
          <w:lang w:val="en-GB"/>
        </w:rPr>
        <w:t>[…]</w:t>
      </w:r>
    </w:p>
    <w:p w14:paraId="5C3EB9B4" w14:textId="77777777" w:rsidR="007C734F" w:rsidRPr="007C734F" w:rsidRDefault="007C734F" w:rsidP="007C734F">
      <w:pPr>
        <w:pStyle w:val="Lijstalinea"/>
        <w:spacing w:line="360" w:lineRule="auto"/>
        <w:jc w:val="both"/>
        <w:rPr>
          <w:i/>
          <w:lang w:val="en-GB"/>
        </w:rPr>
      </w:pPr>
      <w:r w:rsidRPr="007C734F">
        <w:rPr>
          <w:i/>
          <w:lang w:val="en-GB"/>
        </w:rPr>
        <w:t xml:space="preserve">2. This Directive shall apply where and in so far as the undertaking, business or part of the undertaking or business to be transferred is </w:t>
      </w:r>
      <w:r w:rsidRPr="007C734F">
        <w:rPr>
          <w:b/>
          <w:i/>
          <w:lang w:val="en-GB"/>
        </w:rPr>
        <w:t>situated within the territorial scope of the Treaty</w:t>
      </w:r>
      <w:r w:rsidRPr="007C734F">
        <w:rPr>
          <w:i/>
          <w:lang w:val="en-GB"/>
        </w:rPr>
        <w:t>.</w:t>
      </w:r>
    </w:p>
    <w:p w14:paraId="6D6705E8" w14:textId="0FC8E58B" w:rsidR="007C734F" w:rsidRPr="007C734F" w:rsidRDefault="006E1E25" w:rsidP="007C734F">
      <w:pPr>
        <w:pStyle w:val="Lijstalinea"/>
        <w:spacing w:line="360" w:lineRule="auto"/>
        <w:jc w:val="both"/>
        <w:rPr>
          <w:i/>
          <w:lang w:val="en-GB"/>
        </w:rPr>
      </w:pPr>
      <w:r>
        <w:rPr>
          <w:i/>
          <w:lang w:val="en-GB"/>
        </w:rPr>
        <w:t>[…]</w:t>
      </w:r>
    </w:p>
    <w:p w14:paraId="150142F2" w14:textId="77777777" w:rsidR="007C734F" w:rsidRPr="007C734F" w:rsidRDefault="007C734F" w:rsidP="00451616">
      <w:pPr>
        <w:spacing w:line="360" w:lineRule="auto"/>
        <w:rPr>
          <w:lang w:val="en-US"/>
        </w:rPr>
      </w:pPr>
    </w:p>
    <w:p w14:paraId="0D26DDAA" w14:textId="293D979D" w:rsidR="00451616" w:rsidRDefault="007C734F" w:rsidP="005D26CD">
      <w:pPr>
        <w:spacing w:line="360" w:lineRule="auto"/>
        <w:ind w:left="720"/>
        <w:rPr>
          <w:lang w:val="en-GB"/>
        </w:rPr>
      </w:pPr>
      <w:r>
        <w:rPr>
          <w:lang w:val="en-GB"/>
        </w:rPr>
        <w:t>Since the business at issue is situated in Hungary, the 2001/23 Directive may apply.</w:t>
      </w:r>
    </w:p>
    <w:p w14:paraId="6D71E085" w14:textId="204453D4" w:rsidR="0069787C" w:rsidRDefault="0069787C" w:rsidP="0069787C">
      <w:pPr>
        <w:spacing w:line="360" w:lineRule="auto"/>
        <w:ind w:left="720"/>
        <w:rPr>
          <w:lang w:val="en-GB"/>
        </w:rPr>
      </w:pPr>
    </w:p>
    <w:p w14:paraId="43C7419D" w14:textId="1EF38B68" w:rsidR="009E593F" w:rsidRPr="009E593F" w:rsidRDefault="009E593F" w:rsidP="009E593F">
      <w:pPr>
        <w:pStyle w:val="Lijstalinea"/>
        <w:spacing w:line="360" w:lineRule="auto"/>
        <w:jc w:val="both"/>
        <w:rPr>
          <w:b/>
          <w:u w:val="single"/>
          <w:lang w:val="en-GB"/>
        </w:rPr>
      </w:pPr>
      <w:r w:rsidRPr="009E593F">
        <w:rPr>
          <w:b/>
          <w:u w:val="single"/>
          <w:lang w:val="en-GB"/>
        </w:rPr>
        <w:t>Section 36 of Hungaria</w:t>
      </w:r>
      <w:r w:rsidR="00B965E9">
        <w:rPr>
          <w:b/>
          <w:u w:val="single"/>
          <w:lang w:val="en-GB"/>
        </w:rPr>
        <w:t>n</w:t>
      </w:r>
      <w:r w:rsidRPr="009E593F">
        <w:rPr>
          <w:b/>
          <w:u w:val="single"/>
          <w:lang w:val="en-GB"/>
        </w:rPr>
        <w:t xml:space="preserve"> Labour Code</w:t>
      </w:r>
    </w:p>
    <w:p w14:paraId="4E2CF615" w14:textId="77777777" w:rsidR="009E593F" w:rsidRPr="009E593F" w:rsidRDefault="009E593F" w:rsidP="009E593F">
      <w:pPr>
        <w:pStyle w:val="Lijstalinea"/>
        <w:spacing w:line="360" w:lineRule="auto"/>
        <w:jc w:val="both"/>
        <w:rPr>
          <w:i/>
          <w:lang w:val="en-GB"/>
        </w:rPr>
      </w:pPr>
      <w:r w:rsidRPr="009E593F">
        <w:rPr>
          <w:i/>
          <w:lang w:val="en-GB"/>
        </w:rPr>
        <w:t>(1) Rights and obligations arising from employment relationships, existing at the time of transfer of an economic entity (organized grouping of material or other resources) by way of a legal transaction are transferred to the transferee employer.</w:t>
      </w:r>
    </w:p>
    <w:p w14:paraId="585CD7E3" w14:textId="77777777" w:rsidR="009E593F" w:rsidRPr="009E593F" w:rsidRDefault="009E593F" w:rsidP="0069787C">
      <w:pPr>
        <w:spacing w:line="360" w:lineRule="auto"/>
        <w:ind w:left="720"/>
        <w:rPr>
          <w:lang w:val="hu-HU"/>
        </w:rPr>
      </w:pPr>
    </w:p>
    <w:p w14:paraId="7CD2F328" w14:textId="77777777" w:rsidR="009E593F" w:rsidRDefault="009E593F" w:rsidP="0069787C">
      <w:pPr>
        <w:spacing w:line="360" w:lineRule="auto"/>
        <w:ind w:left="720"/>
        <w:rPr>
          <w:lang w:val="en-GB"/>
        </w:rPr>
      </w:pPr>
    </w:p>
    <w:p w14:paraId="2FB9E141" w14:textId="3723D0B7" w:rsidR="0069787C" w:rsidRDefault="0069787C" w:rsidP="0069787C">
      <w:pPr>
        <w:spacing w:line="360" w:lineRule="auto"/>
        <w:ind w:left="720"/>
        <w:jc w:val="both"/>
        <w:rPr>
          <w:lang w:val="en-GB"/>
        </w:rPr>
      </w:pPr>
      <w:r>
        <w:rPr>
          <w:lang w:val="en-GB"/>
        </w:rPr>
        <w:lastRenderedPageBreak/>
        <w:t xml:space="preserve">Section 42 of the Hungarian Labour Code and pt. 9 and 13(a) of the ILO </w:t>
      </w:r>
      <w:r w:rsidR="004A127A">
        <w:rPr>
          <w:lang w:val="en-GB"/>
        </w:rPr>
        <w:t>198</w:t>
      </w:r>
      <w:r>
        <w:rPr>
          <w:lang w:val="en-GB"/>
        </w:rPr>
        <w:t xml:space="preserve"> Recommendation define the employment relationship.</w:t>
      </w:r>
    </w:p>
    <w:p w14:paraId="0903397B" w14:textId="77777777" w:rsidR="0069787C" w:rsidRDefault="0069787C" w:rsidP="0069787C">
      <w:pPr>
        <w:spacing w:line="360" w:lineRule="auto"/>
        <w:ind w:left="720"/>
        <w:rPr>
          <w:lang w:val="en-GB"/>
        </w:rPr>
      </w:pPr>
    </w:p>
    <w:p w14:paraId="7850B179" w14:textId="078453D1" w:rsidR="0069787C" w:rsidRPr="004A127A" w:rsidRDefault="0069787C" w:rsidP="004A127A">
      <w:pPr>
        <w:pStyle w:val="Lijstalinea"/>
        <w:spacing w:line="360" w:lineRule="auto"/>
        <w:jc w:val="both"/>
        <w:rPr>
          <w:b/>
          <w:u w:val="single"/>
          <w:lang w:val="en-GB"/>
        </w:rPr>
      </w:pPr>
      <w:r>
        <w:rPr>
          <w:b/>
          <w:u w:val="single"/>
          <w:lang w:val="en-GB"/>
        </w:rPr>
        <w:t>Section 4</w:t>
      </w:r>
      <w:r w:rsidRPr="00871BD9">
        <w:rPr>
          <w:b/>
          <w:u w:val="single"/>
          <w:lang w:val="en-GB"/>
        </w:rPr>
        <w:t xml:space="preserve">2 </w:t>
      </w:r>
      <w:r>
        <w:rPr>
          <w:b/>
          <w:u w:val="single"/>
          <w:lang w:val="en-GB"/>
        </w:rPr>
        <w:t>of the Hungarian Labour Code</w:t>
      </w:r>
    </w:p>
    <w:p w14:paraId="4B0E11F8" w14:textId="29E712B7" w:rsidR="0069787C" w:rsidRDefault="0069787C" w:rsidP="00323614">
      <w:pPr>
        <w:pStyle w:val="Lijstalinea"/>
        <w:spacing w:line="360" w:lineRule="auto"/>
        <w:jc w:val="both"/>
        <w:rPr>
          <w:i/>
          <w:lang w:val="en-GB"/>
        </w:rPr>
      </w:pPr>
      <w:r>
        <w:rPr>
          <w:i/>
          <w:lang w:val="en-GB"/>
        </w:rPr>
        <w:t>Under an employment contract:</w:t>
      </w:r>
    </w:p>
    <w:p w14:paraId="3C83292F" w14:textId="4172A2EE" w:rsidR="00323614" w:rsidRDefault="00323614" w:rsidP="009E593F">
      <w:pPr>
        <w:pStyle w:val="Lijstalinea"/>
        <w:numPr>
          <w:ilvl w:val="0"/>
          <w:numId w:val="46"/>
        </w:numPr>
        <w:spacing w:line="360" w:lineRule="auto"/>
        <w:jc w:val="both"/>
        <w:rPr>
          <w:i/>
          <w:lang w:val="en-GB"/>
        </w:rPr>
      </w:pPr>
      <w:r w:rsidRPr="00323614">
        <w:rPr>
          <w:i/>
          <w:lang w:val="en-GB"/>
        </w:rPr>
        <w:t xml:space="preserve">the employee is </w:t>
      </w:r>
      <w:r w:rsidRPr="0069787C">
        <w:rPr>
          <w:b/>
          <w:i/>
          <w:lang w:val="en-GB"/>
        </w:rPr>
        <w:t>required to work as instructed</w:t>
      </w:r>
      <w:r w:rsidRPr="00323614">
        <w:rPr>
          <w:i/>
          <w:lang w:val="en-GB"/>
        </w:rPr>
        <w:t xml:space="preserve"> by the employer;</w:t>
      </w:r>
      <w:r w:rsidRPr="00323614">
        <w:rPr>
          <w:i/>
          <w:lang w:val="en-GB"/>
        </w:rPr>
        <w:br/>
        <w:t xml:space="preserve">b) the employer is </w:t>
      </w:r>
      <w:r w:rsidRPr="0069787C">
        <w:rPr>
          <w:b/>
          <w:i/>
          <w:lang w:val="en-GB"/>
        </w:rPr>
        <w:t>required to provide work</w:t>
      </w:r>
      <w:r w:rsidRPr="00323614">
        <w:rPr>
          <w:i/>
          <w:lang w:val="en-GB"/>
        </w:rPr>
        <w:t xml:space="preserve"> for the employee and to pay wages. </w:t>
      </w:r>
    </w:p>
    <w:p w14:paraId="4C284F2F" w14:textId="77777777" w:rsidR="009E593F" w:rsidRPr="00323614" w:rsidRDefault="009E593F" w:rsidP="009E593F">
      <w:pPr>
        <w:pStyle w:val="Lijstalinea"/>
        <w:spacing w:line="360" w:lineRule="auto"/>
        <w:ind w:left="1160"/>
        <w:jc w:val="both"/>
        <w:rPr>
          <w:i/>
          <w:lang w:val="en-GB"/>
        </w:rPr>
      </w:pPr>
    </w:p>
    <w:p w14:paraId="740ADBA3" w14:textId="5509DBD1" w:rsidR="004A127A" w:rsidRPr="004A127A" w:rsidRDefault="004A127A" w:rsidP="004A127A">
      <w:pPr>
        <w:pStyle w:val="Lijstalinea"/>
        <w:spacing w:line="360" w:lineRule="auto"/>
        <w:jc w:val="both"/>
        <w:rPr>
          <w:b/>
          <w:u w:val="single"/>
          <w:lang w:val="en-GB"/>
        </w:rPr>
      </w:pPr>
      <w:r w:rsidRPr="004A127A">
        <w:rPr>
          <w:b/>
          <w:u w:val="single"/>
          <w:lang w:val="en-GB"/>
        </w:rPr>
        <w:t>Pt. 9 of the ILO 198 Recommendation</w:t>
      </w:r>
      <w:r w:rsidR="009E593F">
        <w:rPr>
          <w:b/>
          <w:u w:val="single"/>
          <w:lang w:val="en-GB"/>
        </w:rPr>
        <w:t xml:space="preserve"> (soft law)</w:t>
      </w:r>
    </w:p>
    <w:p w14:paraId="20CA60E3" w14:textId="134535B7" w:rsidR="0069787C" w:rsidRDefault="0069787C" w:rsidP="0069787C">
      <w:pPr>
        <w:pStyle w:val="Lijstalinea"/>
        <w:spacing w:line="360" w:lineRule="auto"/>
        <w:jc w:val="both"/>
        <w:rPr>
          <w:i/>
          <w:lang w:val="en-GB"/>
        </w:rPr>
      </w:pPr>
      <w:r w:rsidRPr="0069787C">
        <w:rPr>
          <w:i/>
          <w:lang w:val="en-GB"/>
        </w:rPr>
        <w:t xml:space="preserve">For the purposes of the national policy of protection for workers in an employment relationship, the determination of the existence of such a relationship should be </w:t>
      </w:r>
      <w:r w:rsidRPr="004A127A">
        <w:rPr>
          <w:b/>
          <w:i/>
          <w:lang w:val="en-GB"/>
        </w:rPr>
        <w:t>guided primarily by the facts relating to the performance of work</w:t>
      </w:r>
      <w:r w:rsidRPr="0069787C">
        <w:rPr>
          <w:i/>
          <w:lang w:val="en-GB"/>
        </w:rPr>
        <w:t xml:space="preserve"> and the remuneration of the worker, notwithstanding how the relationship is characterized in any contrary arrangement, contractual or otherwise, that may have b</w:t>
      </w:r>
      <w:r>
        <w:rPr>
          <w:i/>
          <w:lang w:val="en-GB"/>
        </w:rPr>
        <w:t>een agreed between the parties.</w:t>
      </w:r>
    </w:p>
    <w:p w14:paraId="6735BA9E" w14:textId="77777777" w:rsidR="0069787C" w:rsidRDefault="0069787C" w:rsidP="0069787C">
      <w:pPr>
        <w:pStyle w:val="Lijstalinea"/>
        <w:spacing w:line="360" w:lineRule="auto"/>
        <w:jc w:val="both"/>
        <w:rPr>
          <w:i/>
          <w:lang w:val="en-GB"/>
        </w:rPr>
      </w:pPr>
    </w:p>
    <w:p w14:paraId="612A59B0" w14:textId="050A2504" w:rsidR="0069787C" w:rsidRPr="004A127A" w:rsidRDefault="004A127A" w:rsidP="004A127A">
      <w:pPr>
        <w:pStyle w:val="Lijstalinea"/>
        <w:spacing w:line="360" w:lineRule="auto"/>
        <w:jc w:val="both"/>
        <w:rPr>
          <w:b/>
          <w:u w:val="single"/>
          <w:lang w:val="en-GB"/>
        </w:rPr>
      </w:pPr>
      <w:r w:rsidRPr="004A127A">
        <w:rPr>
          <w:b/>
          <w:u w:val="single"/>
          <w:lang w:val="en-GB"/>
        </w:rPr>
        <w:t>P</w:t>
      </w:r>
      <w:r>
        <w:rPr>
          <w:b/>
          <w:u w:val="single"/>
          <w:lang w:val="en-GB"/>
        </w:rPr>
        <w:t>t. 13(a)</w:t>
      </w:r>
      <w:r w:rsidRPr="004A127A">
        <w:rPr>
          <w:b/>
          <w:u w:val="single"/>
          <w:lang w:val="en-GB"/>
        </w:rPr>
        <w:t xml:space="preserve"> of the ILO 198 Recommendation</w:t>
      </w:r>
      <w:r w:rsidR="00CC59A3">
        <w:rPr>
          <w:b/>
          <w:u w:val="single"/>
          <w:lang w:val="en-GB"/>
        </w:rPr>
        <w:t xml:space="preserve"> (soft law)</w:t>
      </w:r>
    </w:p>
    <w:p w14:paraId="38E9FDE2" w14:textId="05F29C56" w:rsidR="0069787C" w:rsidRPr="0069787C" w:rsidRDefault="000810DC" w:rsidP="0069787C">
      <w:pPr>
        <w:pStyle w:val="Lijstalinea"/>
        <w:spacing w:line="360" w:lineRule="auto"/>
        <w:jc w:val="both"/>
        <w:rPr>
          <w:i/>
          <w:lang w:val="en-GB"/>
        </w:rPr>
      </w:pPr>
      <w:r>
        <w:rPr>
          <w:i/>
          <w:lang w:val="en-GB"/>
        </w:rPr>
        <w:t>S</w:t>
      </w:r>
      <w:r w:rsidR="0069787C" w:rsidRPr="0069787C">
        <w:rPr>
          <w:i/>
          <w:lang w:val="en-GB"/>
        </w:rPr>
        <w:t>pecific indicators of the existenc</w:t>
      </w:r>
      <w:r>
        <w:rPr>
          <w:i/>
          <w:lang w:val="en-GB"/>
        </w:rPr>
        <w:t xml:space="preserve">e of an employment relationship […] </w:t>
      </w:r>
      <w:r w:rsidR="0069787C" w:rsidRPr="0069787C">
        <w:rPr>
          <w:i/>
          <w:lang w:val="en-GB"/>
        </w:rPr>
        <w:t xml:space="preserve">might include: </w:t>
      </w:r>
    </w:p>
    <w:p w14:paraId="0AAA2C14" w14:textId="45919B6C" w:rsidR="0069787C" w:rsidRPr="0069787C" w:rsidRDefault="0069787C" w:rsidP="0069787C">
      <w:pPr>
        <w:pStyle w:val="Lijstalinea"/>
        <w:spacing w:line="360" w:lineRule="auto"/>
        <w:jc w:val="both"/>
        <w:rPr>
          <w:i/>
          <w:lang w:val="en-GB"/>
        </w:rPr>
      </w:pPr>
      <w:r w:rsidRPr="0069787C">
        <w:rPr>
          <w:i/>
          <w:lang w:val="en-GB"/>
        </w:rPr>
        <w:t xml:space="preserve">(a) </w:t>
      </w:r>
      <w:r w:rsidRPr="004A127A">
        <w:rPr>
          <w:b/>
          <w:i/>
          <w:lang w:val="en-GB"/>
        </w:rPr>
        <w:t>the fact that the work: is carried out according to the instructions and under the control of another party; involves the integration of the worker in the organization of the enterprise; is performed solely or mainly for the benefit of another person; must be carried out personally by the worker; is carried out within specific working hours or at a workplace specified or agreed by the party requesting the work; is of a particular duration and has a certain continuity; requires the worker's availability; or involves the provision of tools, materials and machinery by the party requesting the work</w:t>
      </w:r>
      <w:r w:rsidRPr="0069787C">
        <w:rPr>
          <w:i/>
          <w:lang w:val="en-GB"/>
        </w:rPr>
        <w:t xml:space="preserve">; </w:t>
      </w:r>
    </w:p>
    <w:p w14:paraId="271279D5" w14:textId="77777777" w:rsidR="00451616" w:rsidRPr="0069787C" w:rsidRDefault="00451616" w:rsidP="00451616">
      <w:pPr>
        <w:spacing w:line="360" w:lineRule="auto"/>
        <w:rPr>
          <w:lang w:val="en-US"/>
        </w:rPr>
      </w:pPr>
    </w:p>
    <w:p w14:paraId="5B00B97B" w14:textId="68953518" w:rsidR="005D26CD" w:rsidRPr="00220E38" w:rsidRDefault="00220E38" w:rsidP="005D26CD">
      <w:pPr>
        <w:pStyle w:val="Lijstalinea"/>
        <w:numPr>
          <w:ilvl w:val="0"/>
          <w:numId w:val="33"/>
        </w:numPr>
        <w:spacing w:line="360" w:lineRule="auto"/>
        <w:rPr>
          <w:b/>
          <w:lang w:val="en-GB"/>
        </w:rPr>
      </w:pPr>
      <w:r w:rsidRPr="00220E38">
        <w:rPr>
          <w:b/>
          <w:lang w:val="en-GB"/>
        </w:rPr>
        <w:t>Ad claim 2</w:t>
      </w:r>
    </w:p>
    <w:p w14:paraId="5A3C4369" w14:textId="77777777" w:rsidR="001B76A5" w:rsidRDefault="001B76A5" w:rsidP="001B76A5">
      <w:pPr>
        <w:pStyle w:val="Lijstalinea"/>
        <w:spacing w:line="360" w:lineRule="auto"/>
        <w:jc w:val="both"/>
        <w:rPr>
          <w:lang w:val="en-GB"/>
        </w:rPr>
      </w:pPr>
    </w:p>
    <w:p w14:paraId="3894D6B6" w14:textId="1F8DF3E8" w:rsidR="00871BD9" w:rsidRDefault="00871BD9" w:rsidP="001B76A5">
      <w:pPr>
        <w:pStyle w:val="Lijstalinea"/>
        <w:spacing w:line="360" w:lineRule="auto"/>
        <w:jc w:val="both"/>
        <w:rPr>
          <w:lang w:val="en-GB"/>
        </w:rPr>
      </w:pPr>
      <w:r>
        <w:rPr>
          <w:lang w:val="en-GB"/>
        </w:rPr>
        <w:t>The art. 3 par. 3 of the 2001/23 Directive and Section 282 of the Hungarian Labour Code set out the principles of observance of collective agreements binding at the transferor.</w:t>
      </w:r>
    </w:p>
    <w:p w14:paraId="40FDD424" w14:textId="77777777" w:rsidR="00871BD9" w:rsidRDefault="00871BD9" w:rsidP="001B76A5">
      <w:pPr>
        <w:pStyle w:val="Lijstalinea"/>
        <w:spacing w:line="360" w:lineRule="auto"/>
        <w:jc w:val="both"/>
        <w:rPr>
          <w:lang w:val="en-GB"/>
        </w:rPr>
      </w:pPr>
    </w:p>
    <w:p w14:paraId="54F30B8E" w14:textId="0B0F1C75" w:rsidR="001B76A5" w:rsidRPr="001B76A5" w:rsidRDefault="001B76A5" w:rsidP="001B76A5">
      <w:pPr>
        <w:pStyle w:val="Lijstalinea"/>
        <w:spacing w:line="360" w:lineRule="auto"/>
        <w:jc w:val="both"/>
        <w:rPr>
          <w:b/>
          <w:u w:val="single"/>
          <w:lang w:val="en-GB"/>
        </w:rPr>
      </w:pPr>
      <w:r w:rsidRPr="001B76A5">
        <w:rPr>
          <w:b/>
          <w:u w:val="single"/>
          <w:lang w:val="en-GB"/>
        </w:rPr>
        <w:t>Article 3 par. 3 of the 2001/23 Directive</w:t>
      </w:r>
    </w:p>
    <w:p w14:paraId="63A1C45F" w14:textId="77777777" w:rsidR="001B76A5" w:rsidRPr="001B76A5" w:rsidRDefault="001B76A5" w:rsidP="001B76A5">
      <w:pPr>
        <w:pStyle w:val="Lijstalinea"/>
        <w:spacing w:line="360" w:lineRule="auto"/>
        <w:jc w:val="both"/>
        <w:rPr>
          <w:i/>
          <w:lang w:val="en-GB"/>
        </w:rPr>
      </w:pPr>
      <w:r w:rsidRPr="001B76A5">
        <w:rPr>
          <w:i/>
          <w:lang w:val="en-GB"/>
        </w:rPr>
        <w:lastRenderedPageBreak/>
        <w:t xml:space="preserve">Following the transfer, the transferee shall continue to observe the terms and conditions agreed in any collective agreement on the same terms applicable to the transferor under that agreement, </w:t>
      </w:r>
      <w:r w:rsidRPr="00871BD9">
        <w:rPr>
          <w:b/>
          <w:i/>
          <w:lang w:val="en-GB"/>
        </w:rPr>
        <w:t>until the date of termination or expiry of the collective agreement or the entry into force or application of another collective agreement</w:t>
      </w:r>
      <w:r w:rsidRPr="001B76A5">
        <w:rPr>
          <w:i/>
          <w:lang w:val="en-GB"/>
        </w:rPr>
        <w:t xml:space="preserve">. </w:t>
      </w:r>
    </w:p>
    <w:p w14:paraId="4FF74BD9" w14:textId="77777777" w:rsidR="001B76A5" w:rsidRPr="001B76A5" w:rsidRDefault="001B76A5" w:rsidP="001B76A5">
      <w:pPr>
        <w:pStyle w:val="Lijstalinea"/>
        <w:spacing w:line="360" w:lineRule="auto"/>
        <w:jc w:val="both"/>
        <w:rPr>
          <w:i/>
          <w:lang w:val="en-GB"/>
        </w:rPr>
      </w:pPr>
      <w:r w:rsidRPr="001B76A5">
        <w:rPr>
          <w:i/>
          <w:lang w:val="en-GB"/>
        </w:rPr>
        <w:t xml:space="preserve">Member States may limit the period for observing such terms and conditions with the proviso that it shall not be less than one year. </w:t>
      </w:r>
    </w:p>
    <w:p w14:paraId="7B4D2E93" w14:textId="77777777" w:rsidR="005D26CD" w:rsidRDefault="005D26CD" w:rsidP="00451616">
      <w:pPr>
        <w:spacing w:line="360" w:lineRule="auto"/>
        <w:rPr>
          <w:lang w:val="en-GB"/>
        </w:rPr>
      </w:pPr>
    </w:p>
    <w:p w14:paraId="4D72411F" w14:textId="6C488766" w:rsidR="00871BD9" w:rsidRPr="00871BD9" w:rsidRDefault="00871BD9" w:rsidP="00871BD9">
      <w:pPr>
        <w:pStyle w:val="Lijstalinea"/>
        <w:spacing w:line="360" w:lineRule="auto"/>
        <w:jc w:val="both"/>
        <w:rPr>
          <w:b/>
          <w:u w:val="single"/>
          <w:lang w:val="en-GB"/>
        </w:rPr>
      </w:pPr>
      <w:r w:rsidRPr="00871BD9">
        <w:rPr>
          <w:b/>
          <w:u w:val="single"/>
          <w:lang w:val="en-GB"/>
        </w:rPr>
        <w:t xml:space="preserve">Section 282 </w:t>
      </w:r>
      <w:r w:rsidR="0069787C">
        <w:rPr>
          <w:b/>
          <w:u w:val="single"/>
          <w:lang w:val="en-GB"/>
        </w:rPr>
        <w:t>of the Hungarian Labour Code</w:t>
      </w:r>
    </w:p>
    <w:p w14:paraId="3339174E" w14:textId="77777777" w:rsidR="00871BD9" w:rsidRPr="00871BD9" w:rsidRDefault="00871BD9" w:rsidP="00871BD9">
      <w:pPr>
        <w:pStyle w:val="Lijstalinea"/>
        <w:spacing w:line="360" w:lineRule="auto"/>
        <w:jc w:val="both"/>
        <w:rPr>
          <w:i/>
          <w:lang w:val="en-GB"/>
        </w:rPr>
      </w:pPr>
      <w:r w:rsidRPr="00871BD9">
        <w:rPr>
          <w:i/>
          <w:lang w:val="en-GB"/>
        </w:rPr>
        <w:t xml:space="preserve">(1) In the case of transfer of employment upon the transfer of enterprise the receiving employer is required to maintain the working conditions specified in the collective agreement covering the employment relationship – apart from working time and rest periods – existing at the time of transfer for a period of one year after the date of transfer. </w:t>
      </w:r>
    </w:p>
    <w:p w14:paraId="303FEB65" w14:textId="77777777" w:rsidR="00871BD9" w:rsidRDefault="00871BD9" w:rsidP="00871BD9">
      <w:pPr>
        <w:pStyle w:val="Lijstalinea"/>
        <w:spacing w:line="360" w:lineRule="auto"/>
        <w:jc w:val="both"/>
        <w:rPr>
          <w:i/>
          <w:lang w:val="en-GB"/>
        </w:rPr>
      </w:pPr>
      <w:r w:rsidRPr="00871BD9">
        <w:rPr>
          <w:i/>
          <w:lang w:val="en-GB"/>
        </w:rPr>
        <w:t xml:space="preserve">(2) The obligation referred to in Subsection (1) </w:t>
      </w:r>
      <w:r w:rsidRPr="00871BD9">
        <w:rPr>
          <w:b/>
          <w:i/>
          <w:lang w:val="en-GB"/>
        </w:rPr>
        <w:t>shall not apply to the employer if the collective agreement expires within one year after the date of transfer, or if the employment relationship is covered by a collective agreement after the date of transfer</w:t>
      </w:r>
      <w:r w:rsidRPr="00871BD9">
        <w:rPr>
          <w:i/>
          <w:lang w:val="en-GB"/>
        </w:rPr>
        <w:t xml:space="preserve">. </w:t>
      </w:r>
    </w:p>
    <w:p w14:paraId="2D779E6D" w14:textId="77777777" w:rsidR="004A127A" w:rsidRPr="00871BD9" w:rsidRDefault="004A127A" w:rsidP="00871BD9">
      <w:pPr>
        <w:pStyle w:val="Lijstalinea"/>
        <w:spacing w:line="360" w:lineRule="auto"/>
        <w:jc w:val="both"/>
        <w:rPr>
          <w:i/>
          <w:lang w:val="en-GB"/>
        </w:rPr>
      </w:pPr>
    </w:p>
    <w:p w14:paraId="3C97FAA7" w14:textId="3B694D2C" w:rsidR="004A127A" w:rsidRPr="00220E38" w:rsidRDefault="00220E38" w:rsidP="004A127A">
      <w:pPr>
        <w:pStyle w:val="Lijstalinea"/>
        <w:numPr>
          <w:ilvl w:val="0"/>
          <w:numId w:val="33"/>
        </w:numPr>
        <w:spacing w:line="360" w:lineRule="auto"/>
        <w:rPr>
          <w:b/>
          <w:i/>
          <w:lang w:val="en-GB"/>
        </w:rPr>
      </w:pPr>
      <w:r w:rsidRPr="00220E38">
        <w:rPr>
          <w:b/>
          <w:lang w:val="en-GB"/>
        </w:rPr>
        <w:t>Ad claim 3</w:t>
      </w:r>
    </w:p>
    <w:p w14:paraId="0CCB578F" w14:textId="77777777" w:rsidR="00871BD9" w:rsidRDefault="00871BD9" w:rsidP="00451616">
      <w:pPr>
        <w:spacing w:line="360" w:lineRule="auto"/>
        <w:rPr>
          <w:lang w:val="en-GB"/>
        </w:rPr>
      </w:pPr>
    </w:p>
    <w:p w14:paraId="06E160FB" w14:textId="7DF14163" w:rsidR="004A127A" w:rsidRDefault="004A127A" w:rsidP="004A127A">
      <w:pPr>
        <w:pStyle w:val="Lijstalinea"/>
        <w:spacing w:line="360" w:lineRule="auto"/>
        <w:jc w:val="both"/>
        <w:rPr>
          <w:lang w:val="en-GB"/>
        </w:rPr>
      </w:pPr>
      <w:r>
        <w:rPr>
          <w:lang w:val="en-GB"/>
        </w:rPr>
        <w:t>The issue of informing and consulting trade unions is regulated in the art. 7 of the 2001/23 Directive.</w:t>
      </w:r>
    </w:p>
    <w:p w14:paraId="0F5222CD" w14:textId="77777777" w:rsidR="004A127A" w:rsidRDefault="004A127A" w:rsidP="00451616">
      <w:pPr>
        <w:spacing w:line="360" w:lineRule="auto"/>
        <w:rPr>
          <w:lang w:val="en-GB"/>
        </w:rPr>
      </w:pPr>
    </w:p>
    <w:p w14:paraId="6055B0E5" w14:textId="3710D6CC" w:rsidR="004A127A" w:rsidRDefault="004A127A" w:rsidP="004A127A">
      <w:pPr>
        <w:pStyle w:val="Lijstalinea"/>
        <w:spacing w:line="360" w:lineRule="auto"/>
        <w:jc w:val="both"/>
        <w:rPr>
          <w:b/>
          <w:u w:val="single"/>
          <w:lang w:val="en-GB"/>
        </w:rPr>
      </w:pPr>
      <w:r w:rsidRPr="001B76A5">
        <w:rPr>
          <w:b/>
          <w:u w:val="single"/>
          <w:lang w:val="en-GB"/>
        </w:rPr>
        <w:t xml:space="preserve">Article </w:t>
      </w:r>
      <w:r>
        <w:rPr>
          <w:b/>
          <w:u w:val="single"/>
          <w:lang w:val="en-GB"/>
        </w:rPr>
        <w:t>7</w:t>
      </w:r>
      <w:r w:rsidRPr="001B76A5">
        <w:rPr>
          <w:b/>
          <w:u w:val="single"/>
          <w:lang w:val="en-GB"/>
        </w:rPr>
        <w:t xml:space="preserve"> of the 2001/23 Directive</w:t>
      </w:r>
    </w:p>
    <w:p w14:paraId="24CB7120" w14:textId="31FCF49F" w:rsidR="004A127A" w:rsidRPr="004A127A" w:rsidRDefault="004A127A" w:rsidP="004A127A">
      <w:pPr>
        <w:pStyle w:val="Lijstalinea"/>
        <w:spacing w:line="360" w:lineRule="auto"/>
        <w:jc w:val="both"/>
        <w:rPr>
          <w:i/>
          <w:lang w:val="en-GB"/>
        </w:rPr>
      </w:pPr>
      <w:r w:rsidRPr="004A127A">
        <w:rPr>
          <w:i/>
          <w:lang w:val="en-GB"/>
        </w:rPr>
        <w:t xml:space="preserve">1. The transferor and transferee shall be required to inform </w:t>
      </w:r>
      <w:r w:rsidRPr="004A127A">
        <w:rPr>
          <w:b/>
          <w:i/>
          <w:lang w:val="en-GB"/>
        </w:rPr>
        <w:t>the representatives of their respective employees</w:t>
      </w:r>
      <w:r w:rsidRPr="004A127A">
        <w:rPr>
          <w:i/>
          <w:lang w:val="en-GB"/>
        </w:rPr>
        <w:t xml:space="preserve"> affected by the transfer </w:t>
      </w:r>
      <w:r>
        <w:rPr>
          <w:i/>
          <w:lang w:val="en-GB"/>
        </w:rPr>
        <w:t>[…]</w:t>
      </w:r>
      <w:r w:rsidRPr="004A127A">
        <w:rPr>
          <w:i/>
          <w:lang w:val="en-GB"/>
        </w:rPr>
        <w:t>.</w:t>
      </w:r>
    </w:p>
    <w:p w14:paraId="2BBFA919" w14:textId="77777777" w:rsidR="004A127A" w:rsidRPr="004A127A" w:rsidRDefault="004A127A" w:rsidP="004A127A">
      <w:pPr>
        <w:pStyle w:val="Lijstalinea"/>
        <w:spacing w:line="360" w:lineRule="auto"/>
        <w:jc w:val="both"/>
        <w:rPr>
          <w:i/>
          <w:lang w:val="en-GB"/>
        </w:rPr>
      </w:pPr>
      <w:r w:rsidRPr="004A127A">
        <w:rPr>
          <w:i/>
          <w:lang w:val="en-GB"/>
        </w:rPr>
        <w:t xml:space="preserve">The transferor must give such information </w:t>
      </w:r>
      <w:r w:rsidRPr="004A127A">
        <w:rPr>
          <w:b/>
          <w:i/>
          <w:lang w:val="en-GB"/>
        </w:rPr>
        <w:t>to the representatives of his employees</w:t>
      </w:r>
      <w:r w:rsidRPr="004A127A">
        <w:rPr>
          <w:i/>
          <w:lang w:val="en-GB"/>
        </w:rPr>
        <w:t xml:space="preserve"> in good time, before the transfer is carried out.</w:t>
      </w:r>
    </w:p>
    <w:p w14:paraId="72C70111" w14:textId="77777777" w:rsidR="004A127A" w:rsidRPr="004A127A" w:rsidRDefault="004A127A" w:rsidP="004A127A">
      <w:pPr>
        <w:pStyle w:val="Lijstalinea"/>
        <w:spacing w:line="360" w:lineRule="auto"/>
        <w:jc w:val="both"/>
        <w:rPr>
          <w:i/>
          <w:lang w:val="en-GB"/>
        </w:rPr>
      </w:pPr>
      <w:r w:rsidRPr="004A127A">
        <w:rPr>
          <w:i/>
          <w:lang w:val="en-GB"/>
        </w:rPr>
        <w:t xml:space="preserve">The transferee must give such information </w:t>
      </w:r>
      <w:r w:rsidRPr="000F714F">
        <w:rPr>
          <w:b/>
          <w:i/>
          <w:lang w:val="en-GB"/>
        </w:rPr>
        <w:t>to the representatives of his employees</w:t>
      </w:r>
      <w:r w:rsidRPr="004A127A">
        <w:rPr>
          <w:i/>
          <w:lang w:val="en-GB"/>
        </w:rPr>
        <w:t xml:space="preserve"> in good time, and in any event before his employees are directly affected by the transfer as regards their conditions of work and employment.</w:t>
      </w:r>
    </w:p>
    <w:p w14:paraId="7E044CAE" w14:textId="2D4AEA77" w:rsidR="004A127A" w:rsidRDefault="004A127A" w:rsidP="000F714F">
      <w:pPr>
        <w:pStyle w:val="Lijstalinea"/>
        <w:spacing w:line="360" w:lineRule="auto"/>
        <w:jc w:val="both"/>
        <w:rPr>
          <w:i/>
          <w:lang w:val="en-GB"/>
        </w:rPr>
      </w:pPr>
      <w:r w:rsidRPr="004A127A">
        <w:rPr>
          <w:i/>
          <w:lang w:val="en-GB"/>
        </w:rPr>
        <w:t xml:space="preserve">2. Where the transferor or the transferee envisages measures in </w:t>
      </w:r>
      <w:r w:rsidRPr="000F714F">
        <w:rPr>
          <w:b/>
          <w:i/>
          <w:lang w:val="en-GB"/>
        </w:rPr>
        <w:t>relation to his employees</w:t>
      </w:r>
      <w:r w:rsidRPr="004A127A">
        <w:rPr>
          <w:i/>
          <w:lang w:val="en-GB"/>
        </w:rPr>
        <w:t>, he shall consult the representatives of this employees in good time on such measures with a view to reaching an agreement.</w:t>
      </w:r>
    </w:p>
    <w:p w14:paraId="2E11A648" w14:textId="22C2F06C" w:rsidR="000F714F" w:rsidRDefault="000F714F" w:rsidP="000F714F">
      <w:pPr>
        <w:pStyle w:val="Lijstalinea"/>
        <w:spacing w:line="360" w:lineRule="auto"/>
        <w:jc w:val="both"/>
        <w:rPr>
          <w:i/>
          <w:lang w:val="en-GB"/>
        </w:rPr>
      </w:pPr>
      <w:r>
        <w:rPr>
          <w:i/>
          <w:lang w:val="en-GB"/>
        </w:rPr>
        <w:lastRenderedPageBreak/>
        <w:t>[…]</w:t>
      </w:r>
    </w:p>
    <w:p w14:paraId="5CCEA775" w14:textId="77777777" w:rsidR="006F6D76" w:rsidRDefault="006F6D76" w:rsidP="000F714F">
      <w:pPr>
        <w:pStyle w:val="Lijstalinea"/>
        <w:spacing w:line="360" w:lineRule="auto"/>
        <w:jc w:val="both"/>
        <w:rPr>
          <w:i/>
          <w:lang w:val="en-GB"/>
        </w:rPr>
      </w:pPr>
    </w:p>
    <w:p w14:paraId="1899EC52" w14:textId="5635E42E" w:rsidR="006F6D76" w:rsidRPr="00220E38" w:rsidRDefault="006F6D76" w:rsidP="009E593F">
      <w:pPr>
        <w:pStyle w:val="Lijstalinea"/>
        <w:numPr>
          <w:ilvl w:val="0"/>
          <w:numId w:val="33"/>
        </w:numPr>
        <w:spacing w:line="360" w:lineRule="auto"/>
        <w:rPr>
          <w:b/>
          <w:lang w:val="en-GB"/>
        </w:rPr>
      </w:pPr>
      <w:r w:rsidRPr="00220E38">
        <w:rPr>
          <w:b/>
          <w:lang w:val="en-GB"/>
        </w:rPr>
        <w:t>Ad claim 4</w:t>
      </w:r>
    </w:p>
    <w:p w14:paraId="6C7F8E20" w14:textId="77777777" w:rsidR="00220E38" w:rsidRPr="00220E38" w:rsidRDefault="00220E38" w:rsidP="00220E38">
      <w:pPr>
        <w:pStyle w:val="Lijstalinea"/>
        <w:spacing w:line="360" w:lineRule="auto"/>
        <w:rPr>
          <w:lang w:val="en-GB"/>
        </w:rPr>
      </w:pPr>
    </w:p>
    <w:p w14:paraId="37FA1333" w14:textId="35E89AF6" w:rsidR="008C7992" w:rsidRDefault="008C7992" w:rsidP="006F6D76">
      <w:pPr>
        <w:pStyle w:val="Lijstalinea"/>
        <w:spacing w:line="360" w:lineRule="auto"/>
        <w:rPr>
          <w:lang w:val="en-GB"/>
        </w:rPr>
      </w:pPr>
      <w:r>
        <w:rPr>
          <w:lang w:val="en-GB"/>
        </w:rPr>
        <w:t>The issue of age discrimination is regulated in the 2000/78 Directive</w:t>
      </w:r>
      <w:r w:rsidR="00C548A3">
        <w:rPr>
          <w:lang w:val="en-GB"/>
        </w:rPr>
        <w:t xml:space="preserve"> (implemented in the Hungarian law as the Act CXXV of 2003)</w:t>
      </w:r>
      <w:r>
        <w:rPr>
          <w:lang w:val="en-GB"/>
        </w:rPr>
        <w:t>. At the same time, this Directive provides exceptions in which unequal treatment is justified.</w:t>
      </w:r>
    </w:p>
    <w:p w14:paraId="7681045E" w14:textId="77777777" w:rsidR="008C7992" w:rsidRDefault="008C7992" w:rsidP="006F6D76">
      <w:pPr>
        <w:pStyle w:val="Lijstalinea"/>
        <w:spacing w:line="360" w:lineRule="auto"/>
        <w:rPr>
          <w:lang w:val="en-GB"/>
        </w:rPr>
      </w:pPr>
    </w:p>
    <w:p w14:paraId="4C5F0E97" w14:textId="6992E3C9" w:rsidR="008C7992" w:rsidRPr="008C7992" w:rsidRDefault="008C7992" w:rsidP="008C7992">
      <w:pPr>
        <w:pStyle w:val="Lijstalinea"/>
        <w:spacing w:line="360" w:lineRule="auto"/>
        <w:jc w:val="both"/>
        <w:rPr>
          <w:b/>
          <w:u w:val="single"/>
          <w:lang w:val="en-GB"/>
        </w:rPr>
      </w:pPr>
      <w:r w:rsidRPr="001B76A5">
        <w:rPr>
          <w:b/>
          <w:u w:val="single"/>
          <w:lang w:val="en-GB"/>
        </w:rPr>
        <w:t xml:space="preserve">Article </w:t>
      </w:r>
      <w:r>
        <w:rPr>
          <w:b/>
          <w:u w:val="single"/>
          <w:lang w:val="en-GB"/>
        </w:rPr>
        <w:t>4(1) of the 2000/78</w:t>
      </w:r>
      <w:r w:rsidRPr="001B76A5">
        <w:rPr>
          <w:b/>
          <w:u w:val="single"/>
          <w:lang w:val="en-GB"/>
        </w:rPr>
        <w:t xml:space="preserve"> Directive</w:t>
      </w:r>
    </w:p>
    <w:p w14:paraId="2A6B6B74" w14:textId="77777777" w:rsidR="008C7992" w:rsidRDefault="008C7992" w:rsidP="008C7992">
      <w:pPr>
        <w:pStyle w:val="Lijstalinea"/>
        <w:spacing w:line="360" w:lineRule="auto"/>
        <w:jc w:val="both"/>
        <w:rPr>
          <w:i/>
          <w:lang w:val="en-GB"/>
        </w:rPr>
      </w:pPr>
      <w:r w:rsidRPr="008C7992">
        <w:rPr>
          <w:i/>
          <w:lang w:val="en-GB"/>
        </w:rPr>
        <w:t>Notwithstanding Article 2(1) and (2), Member States may provide that a difference of treatment which is</w:t>
      </w:r>
      <w:r w:rsidRPr="008C7992">
        <w:rPr>
          <w:b/>
          <w:i/>
          <w:lang w:val="en-GB"/>
        </w:rPr>
        <w:t xml:space="preserve"> based on a characteristic related to any of the grounds referred to in Article 1</w:t>
      </w:r>
      <w:r w:rsidRPr="008C7992">
        <w:rPr>
          <w:i/>
          <w:lang w:val="en-GB"/>
        </w:rPr>
        <w:t xml:space="preserve"> shall </w:t>
      </w:r>
      <w:r w:rsidRPr="008C7992">
        <w:rPr>
          <w:b/>
          <w:i/>
          <w:lang w:val="en-GB"/>
        </w:rPr>
        <w:t>not</w:t>
      </w:r>
      <w:r w:rsidRPr="008C7992">
        <w:rPr>
          <w:i/>
          <w:lang w:val="en-GB"/>
        </w:rPr>
        <w:t xml:space="preserve"> constitute discrimination where, </w:t>
      </w:r>
      <w:r w:rsidRPr="008C7992">
        <w:rPr>
          <w:b/>
          <w:i/>
          <w:lang w:val="en-GB"/>
        </w:rPr>
        <w:t>by reason of the nature of the particular occupational activities concerned or of the context in which they are carried out, such a characteristic constitutes a genuine and determining occupational requirement, provided that the objective is legitimate and the requirement is proportionate</w:t>
      </w:r>
      <w:r w:rsidRPr="008C7992">
        <w:rPr>
          <w:i/>
          <w:lang w:val="en-GB"/>
        </w:rPr>
        <w:t>.</w:t>
      </w:r>
    </w:p>
    <w:p w14:paraId="433974CE" w14:textId="77777777" w:rsidR="008C7992" w:rsidRDefault="008C7992" w:rsidP="008C7992">
      <w:pPr>
        <w:pStyle w:val="Lijstalinea"/>
        <w:spacing w:line="360" w:lineRule="auto"/>
        <w:jc w:val="both"/>
        <w:rPr>
          <w:i/>
          <w:lang w:val="en-GB"/>
        </w:rPr>
      </w:pPr>
    </w:p>
    <w:p w14:paraId="3C46C1EB" w14:textId="216C72FC" w:rsidR="008C7992" w:rsidRPr="00087B41" w:rsidRDefault="008C7992" w:rsidP="00087B41">
      <w:pPr>
        <w:pStyle w:val="Lijstalinea"/>
        <w:spacing w:line="360" w:lineRule="auto"/>
        <w:jc w:val="both"/>
        <w:rPr>
          <w:b/>
          <w:u w:val="single"/>
          <w:lang w:val="en-GB"/>
        </w:rPr>
      </w:pPr>
      <w:r w:rsidRPr="001B76A5">
        <w:rPr>
          <w:b/>
          <w:u w:val="single"/>
          <w:lang w:val="en-GB"/>
        </w:rPr>
        <w:t xml:space="preserve">Article </w:t>
      </w:r>
      <w:r>
        <w:rPr>
          <w:b/>
          <w:u w:val="single"/>
          <w:lang w:val="en-GB"/>
        </w:rPr>
        <w:t>6 of the 2000/78</w:t>
      </w:r>
      <w:r w:rsidRPr="001B76A5">
        <w:rPr>
          <w:b/>
          <w:u w:val="single"/>
          <w:lang w:val="en-GB"/>
        </w:rPr>
        <w:t xml:space="preserve"> Directive</w:t>
      </w:r>
    </w:p>
    <w:p w14:paraId="432F0916" w14:textId="77777777" w:rsidR="008C7992" w:rsidRPr="004F50BE" w:rsidRDefault="008C7992" w:rsidP="008C7992">
      <w:pPr>
        <w:pStyle w:val="Lijstalinea"/>
        <w:spacing w:line="360" w:lineRule="auto"/>
        <w:jc w:val="both"/>
        <w:rPr>
          <w:b/>
          <w:i/>
          <w:lang w:val="en-GB"/>
        </w:rPr>
      </w:pPr>
      <w:r w:rsidRPr="004F50BE">
        <w:rPr>
          <w:i/>
          <w:lang w:val="en-GB"/>
        </w:rPr>
        <w:t xml:space="preserve">1. Notwithstanding Article 2(2), Member States may provide that differences of treatment on </w:t>
      </w:r>
      <w:r w:rsidRPr="008C7992">
        <w:rPr>
          <w:i/>
          <w:lang w:val="en-GB"/>
        </w:rPr>
        <w:t xml:space="preserve">grounds of age shall </w:t>
      </w:r>
      <w:r w:rsidRPr="004F50BE">
        <w:rPr>
          <w:b/>
          <w:i/>
          <w:lang w:val="en-GB"/>
        </w:rPr>
        <w:t>not</w:t>
      </w:r>
      <w:r w:rsidRPr="008C7992">
        <w:rPr>
          <w:i/>
          <w:lang w:val="en-GB"/>
        </w:rPr>
        <w:t xml:space="preserve"> constitute discrimination, if, within the context of national law, they are </w:t>
      </w:r>
      <w:r w:rsidRPr="004F50BE">
        <w:rPr>
          <w:b/>
          <w:i/>
          <w:lang w:val="en-GB"/>
        </w:rPr>
        <w:t>objectively and reasonably justified by a legitimate aim, including legitimate employment policy, labour market and vocational training objectives, and if the means of achieving that aim are appropriate and necessary.</w:t>
      </w:r>
    </w:p>
    <w:p w14:paraId="7E7C77DE" w14:textId="77777777" w:rsidR="008C7992" w:rsidRPr="008C7992" w:rsidRDefault="008C7992" w:rsidP="008C7992">
      <w:pPr>
        <w:pStyle w:val="Lijstalinea"/>
        <w:spacing w:line="360" w:lineRule="auto"/>
        <w:jc w:val="both"/>
        <w:rPr>
          <w:i/>
          <w:lang w:val="en-GB"/>
        </w:rPr>
      </w:pPr>
      <w:r w:rsidRPr="008C7992">
        <w:rPr>
          <w:i/>
          <w:lang w:val="en-GB"/>
        </w:rPr>
        <w:t>Such differences of treatment may include, among others:</w:t>
      </w:r>
    </w:p>
    <w:p w14:paraId="080F688D" w14:textId="5D8847D2" w:rsidR="008C7992" w:rsidRPr="008C7992" w:rsidRDefault="004F50BE" w:rsidP="008C7992">
      <w:pPr>
        <w:pStyle w:val="Lijstalinea"/>
        <w:spacing w:line="360" w:lineRule="auto"/>
        <w:jc w:val="both"/>
        <w:rPr>
          <w:i/>
          <w:lang w:val="en-GB"/>
        </w:rPr>
      </w:pPr>
      <w:r>
        <w:rPr>
          <w:i/>
          <w:lang w:val="en-GB"/>
        </w:rPr>
        <w:t>[…]</w:t>
      </w:r>
    </w:p>
    <w:p w14:paraId="522AA816" w14:textId="77777777" w:rsidR="008C7992" w:rsidRPr="008C7992" w:rsidRDefault="008C7992" w:rsidP="008C7992">
      <w:pPr>
        <w:pStyle w:val="Lijstalinea"/>
        <w:spacing w:line="360" w:lineRule="auto"/>
        <w:jc w:val="both"/>
        <w:rPr>
          <w:i/>
          <w:lang w:val="en-GB"/>
        </w:rPr>
      </w:pPr>
      <w:r w:rsidRPr="008C7992">
        <w:rPr>
          <w:i/>
          <w:lang w:val="en-GB"/>
        </w:rPr>
        <w:t xml:space="preserve">(b) </w:t>
      </w:r>
      <w:r w:rsidRPr="004F50BE">
        <w:rPr>
          <w:b/>
          <w:i/>
          <w:lang w:val="en-GB"/>
        </w:rPr>
        <w:t>the fixing of minimum conditions of age</w:t>
      </w:r>
      <w:r w:rsidRPr="008C7992">
        <w:rPr>
          <w:i/>
          <w:lang w:val="en-GB"/>
        </w:rPr>
        <w:t>, professional experience or seniority in service for access to employment or to certain advantages linked to employment;</w:t>
      </w:r>
    </w:p>
    <w:p w14:paraId="3A059E42" w14:textId="5038351B" w:rsidR="008C7992" w:rsidRPr="004F50BE" w:rsidRDefault="004F50BE" w:rsidP="004F50BE">
      <w:pPr>
        <w:pStyle w:val="Lijstalinea"/>
        <w:spacing w:line="360" w:lineRule="auto"/>
        <w:jc w:val="both"/>
        <w:rPr>
          <w:i/>
          <w:lang w:val="en-GB"/>
        </w:rPr>
      </w:pPr>
      <w:r w:rsidRPr="004F50BE">
        <w:rPr>
          <w:i/>
          <w:lang w:val="en-GB"/>
        </w:rPr>
        <w:t xml:space="preserve"> </w:t>
      </w:r>
      <w:r w:rsidR="008C7992" w:rsidRPr="004F50BE">
        <w:rPr>
          <w:i/>
          <w:lang w:val="en-GB"/>
        </w:rPr>
        <w:t>[…]</w:t>
      </w:r>
    </w:p>
    <w:p w14:paraId="0E42D410" w14:textId="77777777" w:rsidR="008C7992" w:rsidRDefault="008C7992" w:rsidP="008C7992">
      <w:pPr>
        <w:pStyle w:val="Lijstalinea"/>
        <w:spacing w:line="360" w:lineRule="auto"/>
        <w:jc w:val="both"/>
        <w:rPr>
          <w:i/>
          <w:lang w:val="en-US"/>
        </w:rPr>
      </w:pPr>
    </w:p>
    <w:p w14:paraId="5883F09B" w14:textId="44EEFCFA" w:rsidR="00087B41" w:rsidRPr="00087B41" w:rsidRDefault="00087B41" w:rsidP="008C7992">
      <w:pPr>
        <w:pStyle w:val="Lijstalinea"/>
        <w:spacing w:line="360" w:lineRule="auto"/>
        <w:jc w:val="both"/>
        <w:rPr>
          <w:b/>
          <w:u w:val="single"/>
          <w:lang w:val="en-GB"/>
        </w:rPr>
      </w:pPr>
      <w:r>
        <w:rPr>
          <w:b/>
          <w:u w:val="single"/>
          <w:lang w:val="en-GB"/>
        </w:rPr>
        <w:t xml:space="preserve">Art. 22(a) </w:t>
      </w:r>
      <w:r w:rsidRPr="00087B41">
        <w:rPr>
          <w:b/>
          <w:u w:val="single"/>
          <w:lang w:val="en-GB"/>
        </w:rPr>
        <w:t>Act CXXV of 2003 on Equal Treatment and the Promotion of Equal Opportunities</w:t>
      </w:r>
    </w:p>
    <w:p w14:paraId="7B4DCA97" w14:textId="31B80F41" w:rsidR="00087B41" w:rsidRDefault="00087B41" w:rsidP="00087B41">
      <w:pPr>
        <w:pStyle w:val="Lijstalinea"/>
        <w:spacing w:line="360" w:lineRule="auto"/>
        <w:jc w:val="both"/>
        <w:rPr>
          <w:i/>
          <w:lang w:val="en-GB"/>
        </w:rPr>
      </w:pPr>
      <w:r w:rsidRPr="00087B41">
        <w:rPr>
          <w:i/>
          <w:lang w:val="en-GB"/>
        </w:rPr>
        <w:t xml:space="preserve">The principle of equal treatment is </w:t>
      </w:r>
      <w:r w:rsidRPr="00087B41">
        <w:rPr>
          <w:b/>
          <w:i/>
          <w:lang w:val="en-GB"/>
        </w:rPr>
        <w:t>not</w:t>
      </w:r>
      <w:r>
        <w:rPr>
          <w:i/>
          <w:lang w:val="en-GB"/>
        </w:rPr>
        <w:t xml:space="preserve"> violated if:</w:t>
      </w:r>
    </w:p>
    <w:p w14:paraId="0AD8A744" w14:textId="7269EC3C" w:rsidR="00451616" w:rsidRPr="009E593F" w:rsidRDefault="00087B41" w:rsidP="009E593F">
      <w:pPr>
        <w:pStyle w:val="Lijstalinea"/>
        <w:spacing w:line="360" w:lineRule="auto"/>
        <w:jc w:val="both"/>
        <w:rPr>
          <w:i/>
          <w:lang w:val="en-GB"/>
        </w:rPr>
      </w:pPr>
      <w:r w:rsidRPr="00087B41">
        <w:rPr>
          <w:i/>
          <w:lang w:val="en-GB"/>
        </w:rPr>
        <w:t xml:space="preserve">a) </w:t>
      </w:r>
      <w:r w:rsidRPr="00087B41">
        <w:rPr>
          <w:b/>
          <w:i/>
          <w:lang w:val="en-GB"/>
        </w:rPr>
        <w:t>the discrimination is proportional, justified by the characteristic or nature of the work and is based on all relevant and legitimate terms and conditions</w:t>
      </w:r>
      <w:r w:rsidR="009E593F">
        <w:rPr>
          <w:b/>
          <w:i/>
          <w:lang w:val="en-GB"/>
        </w:rPr>
        <w:t>.</w:t>
      </w:r>
      <w:r w:rsidR="00451616" w:rsidRPr="00AA64AE">
        <w:rPr>
          <w:lang w:val="en-GB"/>
        </w:rPr>
        <w:br w:type="page"/>
      </w:r>
    </w:p>
    <w:p w14:paraId="59736760" w14:textId="48DB5DB7" w:rsidR="00451616" w:rsidRPr="00AA64AE" w:rsidRDefault="00451616" w:rsidP="00FA6861">
      <w:pPr>
        <w:pStyle w:val="Kop2"/>
        <w:rPr>
          <w:lang w:val="en-GB"/>
        </w:rPr>
      </w:pPr>
      <w:bookmarkStart w:id="19" w:name="_Toc480403681"/>
      <w:bookmarkStart w:id="20" w:name="_Toc480403823"/>
      <w:bookmarkStart w:id="21" w:name="_Toc481400974"/>
      <w:r w:rsidRPr="00AA64AE">
        <w:rPr>
          <w:lang w:val="en-GB"/>
        </w:rPr>
        <w:lastRenderedPageBreak/>
        <w:t>QUESTIONS</w:t>
      </w:r>
      <w:bookmarkEnd w:id="19"/>
      <w:bookmarkEnd w:id="20"/>
      <w:bookmarkEnd w:id="21"/>
    </w:p>
    <w:p w14:paraId="4A5E3EC5" w14:textId="77777777" w:rsidR="001B3ED2" w:rsidRDefault="001B3ED2" w:rsidP="001B3ED2">
      <w:pPr>
        <w:pStyle w:val="Lijstalinea"/>
        <w:spacing w:line="360" w:lineRule="auto"/>
        <w:rPr>
          <w:lang w:val="en-GB"/>
        </w:rPr>
      </w:pPr>
    </w:p>
    <w:p w14:paraId="6498B919" w14:textId="77777777" w:rsidR="009E593F" w:rsidRPr="00220E38" w:rsidRDefault="009E593F" w:rsidP="00B965E9">
      <w:pPr>
        <w:pStyle w:val="Lijstalinea"/>
        <w:numPr>
          <w:ilvl w:val="0"/>
          <w:numId w:val="36"/>
        </w:numPr>
        <w:spacing w:line="360" w:lineRule="auto"/>
        <w:jc w:val="both"/>
        <w:rPr>
          <w:lang w:val="en-GB"/>
        </w:rPr>
      </w:pPr>
      <w:r w:rsidRPr="00220E38">
        <w:rPr>
          <w:lang w:val="en-GB"/>
        </w:rPr>
        <w:t xml:space="preserve">Do the plaintiffs have a legal interest in bringing </w:t>
      </w:r>
      <w:r>
        <w:rPr>
          <w:lang w:val="en-GB"/>
        </w:rPr>
        <w:t xml:space="preserve">the </w:t>
      </w:r>
      <w:r w:rsidRPr="00220E38">
        <w:rPr>
          <w:lang w:val="en-GB"/>
        </w:rPr>
        <w:t>proceeding</w:t>
      </w:r>
      <w:r>
        <w:rPr>
          <w:lang w:val="en-GB"/>
        </w:rPr>
        <w:t xml:space="preserve"> to obtain a declaratory judgment</w:t>
      </w:r>
      <w:r w:rsidRPr="00220E38">
        <w:rPr>
          <w:lang w:val="en-GB"/>
        </w:rPr>
        <w:t>?</w:t>
      </w:r>
    </w:p>
    <w:p w14:paraId="1B1AFFF0" w14:textId="77777777" w:rsidR="00BB4387" w:rsidRPr="00BB4387" w:rsidRDefault="00BB4387" w:rsidP="00B965E9">
      <w:pPr>
        <w:spacing w:line="360" w:lineRule="auto"/>
        <w:jc w:val="both"/>
        <w:rPr>
          <w:lang w:val="en-GB"/>
        </w:rPr>
      </w:pPr>
    </w:p>
    <w:p w14:paraId="0215AA74" w14:textId="42CCA456" w:rsidR="00347662" w:rsidRPr="00220E38" w:rsidRDefault="00220E38" w:rsidP="00B965E9">
      <w:pPr>
        <w:pStyle w:val="Lijstalinea"/>
        <w:numPr>
          <w:ilvl w:val="0"/>
          <w:numId w:val="36"/>
        </w:numPr>
        <w:spacing w:line="360" w:lineRule="auto"/>
        <w:jc w:val="both"/>
        <w:rPr>
          <w:b/>
          <w:lang w:val="en-GB"/>
        </w:rPr>
      </w:pPr>
      <w:r w:rsidRPr="00220E38">
        <w:rPr>
          <w:b/>
          <w:lang w:val="en-GB"/>
        </w:rPr>
        <w:t>Ad claim 1</w:t>
      </w:r>
    </w:p>
    <w:p w14:paraId="2DC6800F" w14:textId="77777777" w:rsidR="009E593F" w:rsidRPr="00C774DD" w:rsidRDefault="009E593F" w:rsidP="00B965E9">
      <w:pPr>
        <w:pStyle w:val="Lijstalinea"/>
        <w:numPr>
          <w:ilvl w:val="1"/>
          <w:numId w:val="36"/>
        </w:numPr>
        <w:spacing w:line="360" w:lineRule="auto"/>
        <w:jc w:val="both"/>
        <w:rPr>
          <w:rFonts w:eastAsia="Times New Roman"/>
          <w:lang w:val="en-GB"/>
        </w:rPr>
      </w:pPr>
      <w:r w:rsidRPr="00C774DD">
        <w:rPr>
          <w:rFonts w:eastAsia="Times New Roman"/>
          <w:lang w:val="en-US"/>
        </w:rPr>
        <w:t>Did the transfer of enterprise</w:t>
      </w:r>
      <w:r>
        <w:rPr>
          <w:rFonts w:eastAsia="Times New Roman"/>
          <w:lang w:val="en-US"/>
        </w:rPr>
        <w:t>/ the part of enterprise</w:t>
      </w:r>
      <w:r w:rsidRPr="00C774DD">
        <w:rPr>
          <w:rFonts w:eastAsia="Times New Roman"/>
          <w:lang w:val="en-US"/>
        </w:rPr>
        <w:t xml:space="preserve"> occur?</w:t>
      </w:r>
    </w:p>
    <w:p w14:paraId="542F2513" w14:textId="614A67BE" w:rsidR="00E02D49" w:rsidRDefault="009E593F" w:rsidP="00B965E9">
      <w:pPr>
        <w:pStyle w:val="Lijstalinea"/>
        <w:numPr>
          <w:ilvl w:val="1"/>
          <w:numId w:val="36"/>
        </w:numPr>
        <w:spacing w:line="360" w:lineRule="auto"/>
        <w:jc w:val="both"/>
        <w:rPr>
          <w:lang w:val="en-US"/>
        </w:rPr>
      </w:pPr>
      <w:r w:rsidRPr="00A66353">
        <w:rPr>
          <w:rFonts w:eastAsia="Times New Roman"/>
          <w:lang w:val="en-US"/>
        </w:rPr>
        <w:t xml:space="preserve">If yes – </w:t>
      </w:r>
      <w:r>
        <w:rPr>
          <w:lang w:val="en-US"/>
        </w:rPr>
        <w:t>w</w:t>
      </w:r>
      <w:r w:rsidRPr="00A66353">
        <w:rPr>
          <w:lang w:val="en-US"/>
        </w:rPr>
        <w:t>ere the Plaintiffs employed at the date of the transfer?</w:t>
      </w:r>
    </w:p>
    <w:p w14:paraId="2BE091E9" w14:textId="77777777" w:rsidR="009E593F" w:rsidRPr="009E593F" w:rsidRDefault="009E593F" w:rsidP="00B965E9">
      <w:pPr>
        <w:pStyle w:val="Lijstalinea"/>
        <w:spacing w:line="360" w:lineRule="auto"/>
        <w:jc w:val="both"/>
        <w:rPr>
          <w:lang w:val="en-US"/>
        </w:rPr>
      </w:pPr>
    </w:p>
    <w:p w14:paraId="74C0F57B" w14:textId="37DBB4E6" w:rsidR="00347662" w:rsidRPr="00220E38" w:rsidRDefault="00220E38" w:rsidP="00B965E9">
      <w:pPr>
        <w:pStyle w:val="Lijstalinea"/>
        <w:numPr>
          <w:ilvl w:val="0"/>
          <w:numId w:val="36"/>
        </w:numPr>
        <w:spacing w:line="360" w:lineRule="auto"/>
        <w:jc w:val="both"/>
        <w:rPr>
          <w:b/>
          <w:lang w:val="en-GB"/>
        </w:rPr>
      </w:pPr>
      <w:r w:rsidRPr="00220E38">
        <w:rPr>
          <w:b/>
          <w:lang w:val="en-GB"/>
        </w:rPr>
        <w:t>Ad claim 2</w:t>
      </w:r>
    </w:p>
    <w:p w14:paraId="299676B5" w14:textId="53F52515" w:rsidR="00347662" w:rsidRPr="00C774DD" w:rsidRDefault="009E593F" w:rsidP="00B965E9">
      <w:pPr>
        <w:pStyle w:val="Lijstalinea"/>
        <w:numPr>
          <w:ilvl w:val="1"/>
          <w:numId w:val="36"/>
        </w:numPr>
        <w:spacing w:line="360" w:lineRule="auto"/>
        <w:jc w:val="both"/>
        <w:rPr>
          <w:lang w:val="en-US"/>
        </w:rPr>
      </w:pPr>
      <w:r>
        <w:rPr>
          <w:lang w:val="en-US"/>
        </w:rPr>
        <w:t xml:space="preserve">Was </w:t>
      </w:r>
      <w:r w:rsidRPr="00890C7A">
        <w:rPr>
          <w:lang w:val="en-US"/>
        </w:rPr>
        <w:t>Company Y is oblige</w:t>
      </w:r>
      <w:r w:rsidR="001028E1">
        <w:rPr>
          <w:lang w:val="en-US"/>
        </w:rPr>
        <w:t xml:space="preserve">d to pay the Plaintiff I </w:t>
      </w:r>
      <w:r w:rsidRPr="00890C7A">
        <w:rPr>
          <w:lang w:val="en-US"/>
        </w:rPr>
        <w:t xml:space="preserve">a jubilee award </w:t>
      </w:r>
      <w:r>
        <w:rPr>
          <w:lang w:val="en-US"/>
        </w:rPr>
        <w:t xml:space="preserve">that </w:t>
      </w:r>
      <w:r w:rsidRPr="00890C7A">
        <w:rPr>
          <w:lang w:val="en-US"/>
        </w:rPr>
        <w:t>became payable on 1 January 2016?</w:t>
      </w:r>
    </w:p>
    <w:p w14:paraId="0C54BD85" w14:textId="41A72872" w:rsidR="00347662" w:rsidRPr="00C774DD" w:rsidRDefault="00347662" w:rsidP="00B965E9">
      <w:pPr>
        <w:pStyle w:val="Lijstalinea"/>
        <w:numPr>
          <w:ilvl w:val="1"/>
          <w:numId w:val="36"/>
        </w:numPr>
        <w:spacing w:line="360" w:lineRule="auto"/>
        <w:jc w:val="both"/>
        <w:rPr>
          <w:lang w:val="en-US"/>
        </w:rPr>
      </w:pPr>
      <w:r w:rsidRPr="00C774DD">
        <w:rPr>
          <w:lang w:val="en-US"/>
        </w:rPr>
        <w:t>If yes</w:t>
      </w:r>
      <w:r w:rsidR="00FA005B" w:rsidRPr="00C774DD">
        <w:rPr>
          <w:lang w:val="en-US"/>
        </w:rPr>
        <w:t xml:space="preserve"> –</w:t>
      </w:r>
      <w:r w:rsidRPr="00C774DD">
        <w:rPr>
          <w:lang w:val="en-US"/>
        </w:rPr>
        <w:t xml:space="preserve"> </w:t>
      </w:r>
      <w:r w:rsidR="009E593F" w:rsidRPr="00890C7A">
        <w:rPr>
          <w:lang w:val="en-US"/>
        </w:rPr>
        <w:t>what is the amount of the jubilee award due?</w:t>
      </w:r>
    </w:p>
    <w:p w14:paraId="7A756778" w14:textId="77777777" w:rsidR="00BB4387" w:rsidRPr="00E26AD2" w:rsidRDefault="00BB4387" w:rsidP="00B965E9">
      <w:pPr>
        <w:spacing w:line="360" w:lineRule="auto"/>
        <w:jc w:val="both"/>
        <w:rPr>
          <w:lang w:val="en-US"/>
        </w:rPr>
      </w:pPr>
    </w:p>
    <w:p w14:paraId="29F760E6" w14:textId="2E8C0E8D" w:rsidR="00347662" w:rsidRPr="00220E38" w:rsidRDefault="00220E38" w:rsidP="00B965E9">
      <w:pPr>
        <w:pStyle w:val="Lijstalinea"/>
        <w:numPr>
          <w:ilvl w:val="0"/>
          <w:numId w:val="36"/>
        </w:numPr>
        <w:spacing w:line="360" w:lineRule="auto"/>
        <w:jc w:val="both"/>
        <w:rPr>
          <w:b/>
          <w:i/>
          <w:lang w:val="en-GB"/>
        </w:rPr>
      </w:pPr>
      <w:r w:rsidRPr="00220E38">
        <w:rPr>
          <w:b/>
          <w:lang w:val="en-GB"/>
        </w:rPr>
        <w:t>Ad claim 3</w:t>
      </w:r>
    </w:p>
    <w:p w14:paraId="61D4A0C1" w14:textId="77777777" w:rsidR="009E593F" w:rsidRPr="00C774DD" w:rsidRDefault="009E593F" w:rsidP="00B965E9">
      <w:pPr>
        <w:pStyle w:val="Lijstalinea"/>
        <w:numPr>
          <w:ilvl w:val="1"/>
          <w:numId w:val="36"/>
        </w:numPr>
        <w:spacing w:line="360" w:lineRule="auto"/>
        <w:jc w:val="both"/>
        <w:rPr>
          <w:lang w:val="en-GB"/>
        </w:rPr>
      </w:pPr>
      <w:r w:rsidRPr="00C774DD">
        <w:rPr>
          <w:lang w:val="en-US"/>
        </w:rPr>
        <w:t xml:space="preserve">Was </w:t>
      </w:r>
      <w:r>
        <w:rPr>
          <w:lang w:val="en-US"/>
        </w:rPr>
        <w:t xml:space="preserve">Company </w:t>
      </w:r>
      <w:r w:rsidRPr="00C774DD">
        <w:rPr>
          <w:lang w:val="en-US"/>
        </w:rPr>
        <w:t>Y obliged to cooperate with Trade Union A and on what basis?</w:t>
      </w:r>
    </w:p>
    <w:p w14:paraId="65AC45AE" w14:textId="77777777" w:rsidR="009E593F" w:rsidRDefault="009E593F" w:rsidP="00B965E9">
      <w:pPr>
        <w:pStyle w:val="Lijstalinea"/>
        <w:numPr>
          <w:ilvl w:val="1"/>
          <w:numId w:val="36"/>
        </w:numPr>
        <w:spacing w:line="360" w:lineRule="auto"/>
        <w:jc w:val="both"/>
        <w:rPr>
          <w:lang w:val="en-GB"/>
        </w:rPr>
      </w:pPr>
      <w:r>
        <w:rPr>
          <w:lang w:val="en-GB"/>
        </w:rPr>
        <w:t>If yes:</w:t>
      </w:r>
    </w:p>
    <w:p w14:paraId="1CFA0C37" w14:textId="77777777" w:rsidR="009E593F" w:rsidRDefault="009E593F" w:rsidP="00B965E9">
      <w:pPr>
        <w:pStyle w:val="Lijstalinea"/>
        <w:numPr>
          <w:ilvl w:val="4"/>
          <w:numId w:val="47"/>
        </w:numPr>
        <w:spacing w:line="360" w:lineRule="auto"/>
        <w:jc w:val="both"/>
        <w:rPr>
          <w:lang w:val="en-GB"/>
        </w:rPr>
      </w:pPr>
      <w:r w:rsidRPr="00890C7A">
        <w:rPr>
          <w:lang w:val="en-GB"/>
        </w:rPr>
        <w:t>what actions should be taken up by Company Y to meet this obligation</w:t>
      </w:r>
      <w:r>
        <w:rPr>
          <w:lang w:val="en-GB"/>
        </w:rPr>
        <w:t>;</w:t>
      </w:r>
    </w:p>
    <w:p w14:paraId="3FB351F4" w14:textId="77777777" w:rsidR="009E593F" w:rsidRPr="00890C7A" w:rsidRDefault="009E593F" w:rsidP="00B965E9">
      <w:pPr>
        <w:pStyle w:val="Lijstalinea"/>
        <w:numPr>
          <w:ilvl w:val="4"/>
          <w:numId w:val="47"/>
        </w:numPr>
        <w:spacing w:line="360" w:lineRule="auto"/>
        <w:jc w:val="both"/>
        <w:rPr>
          <w:lang w:val="en-GB"/>
        </w:rPr>
      </w:pPr>
      <w:r>
        <w:rPr>
          <w:lang w:val="en-GB"/>
        </w:rPr>
        <w:t xml:space="preserve">did Company Y </w:t>
      </w:r>
      <w:r w:rsidRPr="00890C7A">
        <w:rPr>
          <w:lang w:val="en-US"/>
        </w:rPr>
        <w:t xml:space="preserve">fulfil this obligation? </w:t>
      </w:r>
    </w:p>
    <w:p w14:paraId="050F4E39" w14:textId="77777777" w:rsidR="00BB4387" w:rsidRPr="00E26AD2" w:rsidRDefault="00BB4387" w:rsidP="00B965E9">
      <w:pPr>
        <w:spacing w:line="360" w:lineRule="auto"/>
        <w:jc w:val="both"/>
        <w:rPr>
          <w:lang w:val="en-GB"/>
        </w:rPr>
      </w:pPr>
    </w:p>
    <w:p w14:paraId="4C883948" w14:textId="1BC569E0" w:rsidR="00347662" w:rsidRPr="00220E38" w:rsidRDefault="00220E38" w:rsidP="00B965E9">
      <w:pPr>
        <w:pStyle w:val="Lijstalinea"/>
        <w:numPr>
          <w:ilvl w:val="0"/>
          <w:numId w:val="36"/>
        </w:numPr>
        <w:spacing w:line="360" w:lineRule="auto"/>
        <w:jc w:val="both"/>
        <w:rPr>
          <w:b/>
          <w:lang w:val="en-US"/>
        </w:rPr>
      </w:pPr>
      <w:r w:rsidRPr="00220E38">
        <w:rPr>
          <w:b/>
          <w:lang w:val="en-GB"/>
        </w:rPr>
        <w:t>Ad claim 4</w:t>
      </w:r>
    </w:p>
    <w:p w14:paraId="210A6057" w14:textId="159C0EE1" w:rsidR="00347662" w:rsidRPr="00C774DD" w:rsidRDefault="00B965E9" w:rsidP="00B965E9">
      <w:pPr>
        <w:pStyle w:val="Lijstalinea"/>
        <w:numPr>
          <w:ilvl w:val="1"/>
          <w:numId w:val="36"/>
        </w:numPr>
        <w:spacing w:line="360" w:lineRule="auto"/>
        <w:jc w:val="both"/>
        <w:rPr>
          <w:rFonts w:eastAsia="SimSun"/>
          <w:lang w:val="en-US" w:eastAsia="ar-SA"/>
        </w:rPr>
      </w:pPr>
      <w:r>
        <w:rPr>
          <w:rFonts w:eastAsia="SimSun"/>
          <w:lang w:val="en-US" w:eastAsia="ar-SA"/>
        </w:rPr>
        <w:t>Is the evidence in place sufficient</w:t>
      </w:r>
      <w:r w:rsidR="00AE4DD7">
        <w:rPr>
          <w:rFonts w:eastAsia="SimSun"/>
          <w:lang w:val="en-US" w:eastAsia="ar-SA"/>
        </w:rPr>
        <w:t xml:space="preserve"> to conclude that there was a difference in treatment</w:t>
      </w:r>
      <w:r w:rsidR="00347662" w:rsidRPr="00C774DD">
        <w:rPr>
          <w:rFonts w:eastAsia="SimSun"/>
          <w:lang w:val="en-US" w:eastAsia="ar-SA"/>
        </w:rPr>
        <w:t>?</w:t>
      </w:r>
    </w:p>
    <w:p w14:paraId="67AB7481" w14:textId="7113757E" w:rsidR="00451616" w:rsidRPr="00AE4DD7" w:rsidRDefault="00AE4DD7" w:rsidP="00B965E9">
      <w:pPr>
        <w:pStyle w:val="Lijstalinea"/>
        <w:numPr>
          <w:ilvl w:val="1"/>
          <w:numId w:val="36"/>
        </w:numPr>
        <w:spacing w:line="360" w:lineRule="auto"/>
        <w:jc w:val="both"/>
        <w:rPr>
          <w:lang w:val="en-US"/>
        </w:rPr>
      </w:pPr>
      <w:r>
        <w:rPr>
          <w:lang w:val="en-US"/>
        </w:rPr>
        <w:t>In which cases a difference in treatment does not constitute discrimination</w:t>
      </w:r>
      <w:r w:rsidR="00347662" w:rsidRPr="00C774DD">
        <w:rPr>
          <w:lang w:val="en-US"/>
        </w:rPr>
        <w:t xml:space="preserve"> on the ground</w:t>
      </w:r>
      <w:r w:rsidR="008269B2">
        <w:rPr>
          <w:lang w:val="en-US"/>
        </w:rPr>
        <w:t>s of age</w:t>
      </w:r>
      <w:r>
        <w:rPr>
          <w:lang w:val="en-US"/>
        </w:rPr>
        <w:t>?</w:t>
      </w:r>
    </w:p>
    <w:p w14:paraId="786EDA04" w14:textId="77777777" w:rsidR="00531117" w:rsidRPr="00AA64AE" w:rsidRDefault="00531117" w:rsidP="00B965E9">
      <w:pPr>
        <w:spacing w:line="360" w:lineRule="auto"/>
        <w:jc w:val="both"/>
        <w:rPr>
          <w:lang w:val="en-GB"/>
        </w:rPr>
      </w:pPr>
    </w:p>
    <w:p w14:paraId="4FAEC9C8" w14:textId="77777777" w:rsidR="00531117" w:rsidRPr="00AA64AE" w:rsidRDefault="00531117" w:rsidP="00B965E9">
      <w:pPr>
        <w:spacing w:line="360" w:lineRule="auto"/>
        <w:jc w:val="both"/>
        <w:rPr>
          <w:lang w:val="en-GB"/>
        </w:rPr>
      </w:pPr>
    </w:p>
    <w:p w14:paraId="7F7FE115" w14:textId="77777777" w:rsidR="00531117" w:rsidRPr="00AA64AE" w:rsidRDefault="00531117" w:rsidP="00B965E9">
      <w:pPr>
        <w:spacing w:line="360" w:lineRule="auto"/>
        <w:jc w:val="both"/>
        <w:rPr>
          <w:lang w:val="en-GB"/>
        </w:rPr>
      </w:pPr>
    </w:p>
    <w:p w14:paraId="67EAE441" w14:textId="3B51BC2C" w:rsidR="00451616" w:rsidRPr="00AA64AE" w:rsidRDefault="00451616" w:rsidP="00B965E9">
      <w:pPr>
        <w:jc w:val="both"/>
        <w:rPr>
          <w:lang w:val="en-GB"/>
        </w:rPr>
      </w:pPr>
      <w:r w:rsidRPr="00AA64AE">
        <w:rPr>
          <w:lang w:val="en-GB"/>
        </w:rPr>
        <w:br w:type="page"/>
      </w:r>
    </w:p>
    <w:p w14:paraId="49ACA5D9" w14:textId="30CED17F" w:rsidR="00531117" w:rsidRPr="00AA64AE" w:rsidRDefault="00451616" w:rsidP="00220E38">
      <w:pPr>
        <w:pStyle w:val="Kop2"/>
        <w:rPr>
          <w:lang w:val="en-GB"/>
        </w:rPr>
      </w:pPr>
      <w:bookmarkStart w:id="22" w:name="_Toc480403682"/>
      <w:bookmarkStart w:id="23" w:name="_Toc480403824"/>
      <w:bookmarkStart w:id="24" w:name="_Toc481400975"/>
      <w:r w:rsidRPr="00AA64AE">
        <w:rPr>
          <w:lang w:val="en-GB"/>
        </w:rPr>
        <w:lastRenderedPageBreak/>
        <w:t>SUMMARY OF ARGUMENTS</w:t>
      </w:r>
      <w:bookmarkEnd w:id="22"/>
      <w:bookmarkEnd w:id="23"/>
      <w:bookmarkEnd w:id="24"/>
    </w:p>
    <w:p w14:paraId="06109C04" w14:textId="77777777" w:rsidR="00220E38" w:rsidRPr="00220E38" w:rsidRDefault="00220E38" w:rsidP="00827978">
      <w:pPr>
        <w:spacing w:line="360" w:lineRule="auto"/>
        <w:rPr>
          <w:lang w:val="en-GB"/>
        </w:rPr>
      </w:pPr>
    </w:p>
    <w:p w14:paraId="463E0C2F" w14:textId="2E8900A8" w:rsidR="00220E38" w:rsidRPr="00220E38" w:rsidRDefault="00201FB4" w:rsidP="00827978">
      <w:pPr>
        <w:pStyle w:val="Lijstalinea"/>
        <w:numPr>
          <w:ilvl w:val="0"/>
          <w:numId w:val="37"/>
        </w:numPr>
        <w:spacing w:line="360" w:lineRule="auto"/>
        <w:rPr>
          <w:lang w:val="en-GB"/>
        </w:rPr>
      </w:pPr>
      <w:r>
        <w:rPr>
          <w:lang w:val="en-GB"/>
        </w:rPr>
        <w:t>Th</w:t>
      </w:r>
      <w:r w:rsidR="00220E38" w:rsidRPr="00220E38">
        <w:rPr>
          <w:lang w:val="en-GB"/>
        </w:rPr>
        <w:t>e plaintiff</w:t>
      </w:r>
      <w:r w:rsidR="00220E38">
        <w:rPr>
          <w:lang w:val="en-GB"/>
        </w:rPr>
        <w:t>s have no</w:t>
      </w:r>
      <w:r w:rsidR="00220E38" w:rsidRPr="00220E38">
        <w:rPr>
          <w:lang w:val="en-GB"/>
        </w:rPr>
        <w:t xml:space="preserve"> legal interest in </w:t>
      </w:r>
      <w:r w:rsidR="00220E38">
        <w:rPr>
          <w:lang w:val="en-GB"/>
        </w:rPr>
        <w:t>requesting a declaratory judgment.</w:t>
      </w:r>
    </w:p>
    <w:p w14:paraId="556652E5" w14:textId="77777777" w:rsidR="00220E38" w:rsidRPr="00BB4387" w:rsidRDefault="00220E38" w:rsidP="00827978">
      <w:pPr>
        <w:spacing w:line="360" w:lineRule="auto"/>
        <w:rPr>
          <w:lang w:val="en-GB"/>
        </w:rPr>
      </w:pPr>
    </w:p>
    <w:p w14:paraId="2DDC697B" w14:textId="44EB21C0" w:rsidR="00220E38" w:rsidRPr="007373CF" w:rsidRDefault="00220E38" w:rsidP="007373CF">
      <w:pPr>
        <w:pStyle w:val="Lijstalinea"/>
        <w:numPr>
          <w:ilvl w:val="0"/>
          <w:numId w:val="37"/>
        </w:numPr>
        <w:spacing w:line="360" w:lineRule="auto"/>
        <w:rPr>
          <w:b/>
          <w:lang w:val="en-GB"/>
        </w:rPr>
      </w:pPr>
      <w:r w:rsidRPr="00220E38">
        <w:rPr>
          <w:b/>
          <w:lang w:val="en-GB"/>
        </w:rPr>
        <w:t>Ad claim 1</w:t>
      </w:r>
    </w:p>
    <w:p w14:paraId="6D9C9F41" w14:textId="758136DE" w:rsidR="00220E38" w:rsidRDefault="00220E38" w:rsidP="008F42AA">
      <w:pPr>
        <w:spacing w:line="360" w:lineRule="auto"/>
        <w:ind w:left="708"/>
        <w:rPr>
          <w:lang w:val="en-US"/>
        </w:rPr>
      </w:pPr>
      <w:r>
        <w:rPr>
          <w:lang w:val="en-US"/>
        </w:rPr>
        <w:t>There was no transfer of undertaking (or part thereof) because:</w:t>
      </w:r>
    </w:p>
    <w:p w14:paraId="76AD6824" w14:textId="2389A74A" w:rsidR="00220E38" w:rsidRDefault="00827978" w:rsidP="008F42AA">
      <w:pPr>
        <w:pStyle w:val="Lijstalinea"/>
        <w:numPr>
          <w:ilvl w:val="2"/>
          <w:numId w:val="36"/>
        </w:numPr>
        <w:spacing w:line="360" w:lineRule="auto"/>
        <w:rPr>
          <w:lang w:val="en-US"/>
        </w:rPr>
      </w:pPr>
      <w:r>
        <w:rPr>
          <w:lang w:val="en-US"/>
        </w:rPr>
        <w:t>X’s restaurant was not capable of being transferred,</w:t>
      </w:r>
    </w:p>
    <w:p w14:paraId="6EA74EDF" w14:textId="77438C92" w:rsidR="00827978" w:rsidRDefault="00827978" w:rsidP="008F42AA">
      <w:pPr>
        <w:pStyle w:val="Lijstalinea"/>
        <w:numPr>
          <w:ilvl w:val="2"/>
          <w:numId w:val="36"/>
        </w:numPr>
        <w:spacing w:line="360" w:lineRule="auto"/>
        <w:rPr>
          <w:lang w:val="en-US"/>
        </w:rPr>
      </w:pPr>
      <w:r>
        <w:rPr>
          <w:lang w:val="en-US"/>
        </w:rPr>
        <w:t>There was no legal transfer or merger between X and Y,</w:t>
      </w:r>
    </w:p>
    <w:p w14:paraId="7447FD68" w14:textId="203974DD" w:rsidR="00827978" w:rsidRDefault="00827978" w:rsidP="008F42AA">
      <w:pPr>
        <w:pStyle w:val="Lijstalinea"/>
        <w:numPr>
          <w:ilvl w:val="2"/>
          <w:numId w:val="36"/>
        </w:numPr>
        <w:spacing w:line="360" w:lineRule="auto"/>
        <w:rPr>
          <w:lang w:val="en-US"/>
        </w:rPr>
      </w:pPr>
      <w:r>
        <w:rPr>
          <w:lang w:val="en-US"/>
        </w:rPr>
        <w:t>The identity of X’s undertaking was not retained</w:t>
      </w:r>
      <w:r w:rsidR="005476AD">
        <w:rPr>
          <w:lang w:val="en-US"/>
        </w:rPr>
        <w:t xml:space="preserve"> </w:t>
      </w:r>
      <w:r w:rsidR="00F36D96">
        <w:rPr>
          <w:lang w:val="en-US"/>
        </w:rPr>
        <w:t>at</w:t>
      </w:r>
      <w:r w:rsidR="005476AD">
        <w:rPr>
          <w:lang w:val="en-US"/>
        </w:rPr>
        <w:t xml:space="preserve"> Y</w:t>
      </w:r>
      <w:r w:rsidR="008F42AA">
        <w:rPr>
          <w:lang w:val="en-US"/>
        </w:rPr>
        <w:t>, as:</w:t>
      </w:r>
    </w:p>
    <w:p w14:paraId="4AB6AD3E" w14:textId="4548D96F" w:rsidR="008F42AA" w:rsidRDefault="008F42AA" w:rsidP="008F42AA">
      <w:pPr>
        <w:pStyle w:val="Lijstalinea"/>
        <w:numPr>
          <w:ilvl w:val="0"/>
          <w:numId w:val="39"/>
        </w:numPr>
        <w:spacing w:line="360" w:lineRule="auto"/>
        <w:rPr>
          <w:lang w:val="en-US"/>
        </w:rPr>
      </w:pPr>
      <w:r>
        <w:rPr>
          <w:lang w:val="en-US"/>
        </w:rPr>
        <w:t>Types of businesses and activities are different,</w:t>
      </w:r>
    </w:p>
    <w:p w14:paraId="019A8AA8" w14:textId="4B74BC9C" w:rsidR="00925390" w:rsidRDefault="00925390" w:rsidP="008F42AA">
      <w:pPr>
        <w:pStyle w:val="Lijstalinea"/>
        <w:numPr>
          <w:ilvl w:val="0"/>
          <w:numId w:val="39"/>
        </w:numPr>
        <w:spacing w:line="360" w:lineRule="auto"/>
        <w:rPr>
          <w:lang w:val="en-US"/>
        </w:rPr>
      </w:pPr>
      <w:r>
        <w:rPr>
          <w:lang w:val="en-US"/>
        </w:rPr>
        <w:t>There was no sufficient transfer of:</w:t>
      </w:r>
    </w:p>
    <w:p w14:paraId="633E3202" w14:textId="67DE170D" w:rsidR="00925390" w:rsidRDefault="00925390" w:rsidP="00925390">
      <w:pPr>
        <w:pStyle w:val="Lijstalinea"/>
        <w:numPr>
          <w:ilvl w:val="0"/>
          <w:numId w:val="43"/>
        </w:numPr>
        <w:spacing w:line="360" w:lineRule="auto"/>
        <w:rPr>
          <w:lang w:val="en-US"/>
        </w:rPr>
      </w:pPr>
      <w:r>
        <w:rPr>
          <w:lang w:val="en-US"/>
        </w:rPr>
        <w:t>Employees,</w:t>
      </w:r>
    </w:p>
    <w:p w14:paraId="26C5A175" w14:textId="640E8BE9" w:rsidR="00925390" w:rsidRPr="00925390" w:rsidRDefault="00925390" w:rsidP="00925390">
      <w:pPr>
        <w:pStyle w:val="Lijstalinea"/>
        <w:numPr>
          <w:ilvl w:val="0"/>
          <w:numId w:val="43"/>
        </w:numPr>
        <w:spacing w:line="360" w:lineRule="auto"/>
        <w:rPr>
          <w:lang w:val="en-US"/>
        </w:rPr>
      </w:pPr>
      <w:r>
        <w:rPr>
          <w:lang w:val="en-US"/>
        </w:rPr>
        <w:t>Equipment,</w:t>
      </w:r>
    </w:p>
    <w:p w14:paraId="07FBF476" w14:textId="50D4BD96" w:rsidR="00925390" w:rsidRDefault="00925390" w:rsidP="00925390">
      <w:pPr>
        <w:pStyle w:val="Lijstalinea"/>
        <w:numPr>
          <w:ilvl w:val="0"/>
          <w:numId w:val="43"/>
        </w:numPr>
        <w:spacing w:line="360" w:lineRule="auto"/>
        <w:rPr>
          <w:lang w:val="en-US"/>
        </w:rPr>
      </w:pPr>
      <w:r>
        <w:rPr>
          <w:lang w:val="en-US"/>
        </w:rPr>
        <w:t>Intangible assets,</w:t>
      </w:r>
    </w:p>
    <w:p w14:paraId="4E2732CD" w14:textId="58748948" w:rsidR="00925390" w:rsidRDefault="00925390" w:rsidP="00925390">
      <w:pPr>
        <w:pStyle w:val="Lijstalinea"/>
        <w:numPr>
          <w:ilvl w:val="0"/>
          <w:numId w:val="43"/>
        </w:numPr>
        <w:spacing w:line="360" w:lineRule="auto"/>
        <w:rPr>
          <w:lang w:val="en-US"/>
        </w:rPr>
      </w:pPr>
      <w:r>
        <w:rPr>
          <w:lang w:val="en-US"/>
        </w:rPr>
        <w:t>Customers,</w:t>
      </w:r>
    </w:p>
    <w:p w14:paraId="1D85CCD9" w14:textId="3DC169FD" w:rsidR="008F42AA" w:rsidRDefault="008F42AA" w:rsidP="008F42AA">
      <w:pPr>
        <w:pStyle w:val="Lijstalinea"/>
        <w:numPr>
          <w:ilvl w:val="0"/>
          <w:numId w:val="39"/>
        </w:numPr>
        <w:spacing w:line="360" w:lineRule="auto"/>
        <w:rPr>
          <w:lang w:val="en-US"/>
        </w:rPr>
      </w:pPr>
      <w:r>
        <w:rPr>
          <w:lang w:val="en-US"/>
        </w:rPr>
        <w:t>Ther</w:t>
      </w:r>
      <w:r w:rsidR="00F36D96">
        <w:rPr>
          <w:lang w:val="en-US"/>
        </w:rPr>
        <w:t>e was a long break in operation</w:t>
      </w:r>
    </w:p>
    <w:p w14:paraId="59D2B421" w14:textId="400BD904" w:rsidR="008F42AA" w:rsidRDefault="00F36D96" w:rsidP="00F36D96">
      <w:pPr>
        <w:pStyle w:val="Lijstalinea"/>
        <w:numPr>
          <w:ilvl w:val="0"/>
          <w:numId w:val="44"/>
        </w:numPr>
        <w:spacing w:line="360" w:lineRule="auto"/>
        <w:rPr>
          <w:lang w:val="en-US"/>
        </w:rPr>
      </w:pPr>
      <w:r>
        <w:rPr>
          <w:lang w:val="en-US"/>
        </w:rPr>
        <w:t>During which no employment relationship could be established.</w:t>
      </w:r>
    </w:p>
    <w:p w14:paraId="15CEDC76" w14:textId="77777777" w:rsidR="00827978" w:rsidRPr="008F42AA" w:rsidRDefault="00827978" w:rsidP="00827978">
      <w:pPr>
        <w:pStyle w:val="Lijstalinea"/>
        <w:spacing w:line="360" w:lineRule="auto"/>
        <w:ind w:left="1353"/>
        <w:rPr>
          <w:lang w:val="en-US"/>
        </w:rPr>
      </w:pPr>
    </w:p>
    <w:p w14:paraId="2C62542F" w14:textId="0CD6B6CB" w:rsidR="00220E38" w:rsidRPr="007373CF" w:rsidRDefault="00220E38" w:rsidP="007373CF">
      <w:pPr>
        <w:pStyle w:val="Lijstalinea"/>
        <w:numPr>
          <w:ilvl w:val="0"/>
          <w:numId w:val="37"/>
        </w:numPr>
        <w:spacing w:line="360" w:lineRule="auto"/>
        <w:rPr>
          <w:b/>
          <w:lang w:val="en-GB"/>
        </w:rPr>
      </w:pPr>
      <w:r w:rsidRPr="00220E38">
        <w:rPr>
          <w:b/>
          <w:lang w:val="en-GB"/>
        </w:rPr>
        <w:t xml:space="preserve">Ad claim </w:t>
      </w:r>
      <w:r w:rsidR="007373CF">
        <w:rPr>
          <w:b/>
          <w:lang w:val="en-GB"/>
        </w:rPr>
        <w:t>2</w:t>
      </w:r>
    </w:p>
    <w:p w14:paraId="790AF079" w14:textId="2D371B4A" w:rsidR="008D7C86" w:rsidRDefault="00573B96" w:rsidP="00B965E9">
      <w:pPr>
        <w:spacing w:line="360" w:lineRule="auto"/>
        <w:ind w:left="708"/>
        <w:jc w:val="both"/>
        <w:rPr>
          <w:lang w:val="en-US"/>
        </w:rPr>
      </w:pPr>
      <w:r>
        <w:rPr>
          <w:lang w:val="en-US"/>
        </w:rPr>
        <w:t xml:space="preserve">Plaintiff </w:t>
      </w:r>
      <w:r w:rsidR="007373CF">
        <w:rPr>
          <w:lang w:val="en-US"/>
        </w:rPr>
        <w:t>I</w:t>
      </w:r>
      <w:r w:rsidR="008D7C86">
        <w:rPr>
          <w:lang w:val="en-US"/>
        </w:rPr>
        <w:t xml:space="preserve"> has no right to </w:t>
      </w:r>
      <w:r w:rsidR="00B965E9">
        <w:rPr>
          <w:lang w:val="en-US"/>
        </w:rPr>
        <w:t xml:space="preserve">demand </w:t>
      </w:r>
      <w:r w:rsidR="008D7C86">
        <w:rPr>
          <w:lang w:val="en-US"/>
        </w:rPr>
        <w:t xml:space="preserve">the jubilee </w:t>
      </w:r>
      <w:r w:rsidR="008D7C86" w:rsidRPr="008D7C86">
        <w:rPr>
          <w:lang w:val="en-US"/>
        </w:rPr>
        <w:t>award</w:t>
      </w:r>
      <w:r w:rsidR="00B965E9">
        <w:rPr>
          <w:lang w:val="en-US"/>
        </w:rPr>
        <w:t xml:space="preserve"> from Y</w:t>
      </w:r>
      <w:r w:rsidR="008D7C86">
        <w:rPr>
          <w:lang w:val="en-US"/>
        </w:rPr>
        <w:t>, since there was no transfer of undertaking</w:t>
      </w:r>
      <w:r w:rsidR="00B965E9">
        <w:rPr>
          <w:lang w:val="en-US"/>
        </w:rPr>
        <w:t xml:space="preserve"> (or part thereof)</w:t>
      </w:r>
      <w:r w:rsidR="008D7C86">
        <w:rPr>
          <w:lang w:val="en-US"/>
        </w:rPr>
        <w:t xml:space="preserve">. </w:t>
      </w:r>
    </w:p>
    <w:p w14:paraId="4BD3BE7E" w14:textId="508EFD57" w:rsidR="008D7C86" w:rsidRDefault="008D7C86" w:rsidP="008D7C86">
      <w:pPr>
        <w:spacing w:line="360" w:lineRule="auto"/>
        <w:ind w:left="708"/>
        <w:jc w:val="both"/>
        <w:rPr>
          <w:lang w:val="en-US"/>
        </w:rPr>
      </w:pPr>
      <w:r>
        <w:rPr>
          <w:lang w:val="en-US"/>
        </w:rPr>
        <w:t xml:space="preserve">Even if the Court finds that there was a transfer, whichever the date of the transfer is, </w:t>
      </w:r>
      <w:r w:rsidR="00573B96">
        <w:rPr>
          <w:lang w:val="en-US"/>
        </w:rPr>
        <w:t>Plaintiff I</w:t>
      </w:r>
      <w:r>
        <w:rPr>
          <w:lang w:val="en-US"/>
        </w:rPr>
        <w:t xml:space="preserve"> does not acquire the</w:t>
      </w:r>
      <w:r w:rsidR="001E685C">
        <w:rPr>
          <w:lang w:val="en-US"/>
        </w:rPr>
        <w:t xml:space="preserve"> right to</w:t>
      </w:r>
      <w:r>
        <w:rPr>
          <w:lang w:val="en-US"/>
        </w:rPr>
        <w:t xml:space="preserve"> award when employed at Y and Y is not obliged to observe </w:t>
      </w:r>
      <w:r w:rsidR="00B965E9">
        <w:rPr>
          <w:lang w:val="en-US"/>
        </w:rPr>
        <w:t xml:space="preserve">the </w:t>
      </w:r>
      <w:r>
        <w:rPr>
          <w:lang w:val="en-US"/>
        </w:rPr>
        <w:t>X’s collective agreement</w:t>
      </w:r>
      <w:r w:rsidR="00B965E9">
        <w:rPr>
          <w:lang w:val="en-US"/>
        </w:rPr>
        <w:t xml:space="preserve"> (neither the old one, nor the new one).</w:t>
      </w:r>
    </w:p>
    <w:p w14:paraId="153FBF11" w14:textId="77777777" w:rsidR="008D7C86" w:rsidRPr="00E26AD2" w:rsidRDefault="008D7C86" w:rsidP="00220E38">
      <w:pPr>
        <w:spacing w:line="360" w:lineRule="auto"/>
        <w:rPr>
          <w:lang w:val="en-US"/>
        </w:rPr>
      </w:pPr>
    </w:p>
    <w:p w14:paraId="3AC51E84" w14:textId="7814BE08" w:rsidR="00220E38" w:rsidRPr="007373CF" w:rsidRDefault="00220E38" w:rsidP="007373CF">
      <w:pPr>
        <w:pStyle w:val="Lijstalinea"/>
        <w:numPr>
          <w:ilvl w:val="0"/>
          <w:numId w:val="37"/>
        </w:numPr>
        <w:spacing w:line="360" w:lineRule="auto"/>
        <w:rPr>
          <w:b/>
          <w:i/>
          <w:lang w:val="en-GB"/>
        </w:rPr>
      </w:pPr>
      <w:r w:rsidRPr="00220E38">
        <w:rPr>
          <w:b/>
          <w:lang w:val="en-GB"/>
        </w:rPr>
        <w:t>Ad claim 3</w:t>
      </w:r>
    </w:p>
    <w:p w14:paraId="74910C93" w14:textId="77777777" w:rsidR="009A2468" w:rsidRDefault="009A2468" w:rsidP="0020398A">
      <w:pPr>
        <w:pStyle w:val="Lijstalinea"/>
        <w:spacing w:line="360" w:lineRule="auto"/>
        <w:rPr>
          <w:lang w:val="en-GB"/>
        </w:rPr>
      </w:pPr>
      <w:r w:rsidRPr="00840762">
        <w:rPr>
          <w:lang w:val="en-GB"/>
        </w:rPr>
        <w:t>Company Y is no</w:t>
      </w:r>
      <w:r>
        <w:rPr>
          <w:lang w:val="en-GB"/>
        </w:rPr>
        <w:t>t</w:t>
      </w:r>
      <w:r w:rsidRPr="00840762">
        <w:rPr>
          <w:lang w:val="en-GB"/>
        </w:rPr>
        <w:t xml:space="preserve"> obliged to co-operate with Trade Union A operating at X, as there was no transfer of undertaking (or part thereof).</w:t>
      </w:r>
    </w:p>
    <w:p w14:paraId="0141DC3A" w14:textId="22506C45" w:rsidR="001C0228" w:rsidRDefault="001C0228" w:rsidP="001C0228">
      <w:pPr>
        <w:spacing w:line="360" w:lineRule="auto"/>
        <w:ind w:left="708"/>
        <w:jc w:val="both"/>
        <w:rPr>
          <w:lang w:val="en-GB"/>
        </w:rPr>
      </w:pPr>
      <w:r>
        <w:rPr>
          <w:lang w:val="en-GB"/>
        </w:rPr>
        <w:t xml:space="preserve">There is no legal obligation for </w:t>
      </w:r>
      <w:r w:rsidR="001E685C">
        <w:rPr>
          <w:lang w:val="en-GB"/>
        </w:rPr>
        <w:t xml:space="preserve">the transferee to cooperate with the transferor’s trade union, even if the transfer of undertaking is </w:t>
      </w:r>
      <w:r w:rsidR="00FA3F2F">
        <w:rPr>
          <w:lang w:val="en-GB"/>
        </w:rPr>
        <w:t>identifie</w:t>
      </w:r>
      <w:r w:rsidR="001E685C">
        <w:rPr>
          <w:lang w:val="en-GB"/>
        </w:rPr>
        <w:t>d.</w:t>
      </w:r>
    </w:p>
    <w:p w14:paraId="4D129B76" w14:textId="77777777" w:rsidR="001E685C" w:rsidRPr="00E26AD2" w:rsidRDefault="001E685C" w:rsidP="001C0228">
      <w:pPr>
        <w:spacing w:line="360" w:lineRule="auto"/>
        <w:ind w:left="708"/>
        <w:jc w:val="both"/>
        <w:rPr>
          <w:lang w:val="en-GB"/>
        </w:rPr>
      </w:pPr>
    </w:p>
    <w:p w14:paraId="5382EDA9" w14:textId="2D46FC2C" w:rsidR="001E685C" w:rsidRPr="007373CF" w:rsidRDefault="00220E38" w:rsidP="007373CF">
      <w:pPr>
        <w:pStyle w:val="Lijstalinea"/>
        <w:numPr>
          <w:ilvl w:val="0"/>
          <w:numId w:val="37"/>
        </w:numPr>
        <w:spacing w:line="360" w:lineRule="auto"/>
        <w:rPr>
          <w:b/>
          <w:lang w:val="en-US"/>
        </w:rPr>
      </w:pPr>
      <w:r w:rsidRPr="00220E38">
        <w:rPr>
          <w:b/>
          <w:lang w:val="en-GB"/>
        </w:rPr>
        <w:t>Ad claim 4</w:t>
      </w:r>
    </w:p>
    <w:p w14:paraId="562EF3F2" w14:textId="38ABEE3C" w:rsidR="001E685C" w:rsidRPr="009A2468" w:rsidRDefault="001E685C" w:rsidP="00695EF7">
      <w:pPr>
        <w:pStyle w:val="Lijstalinea"/>
        <w:spacing w:line="360" w:lineRule="auto"/>
        <w:jc w:val="both"/>
        <w:rPr>
          <w:i/>
          <w:lang w:val="en-GB"/>
        </w:rPr>
      </w:pPr>
      <w:r>
        <w:rPr>
          <w:lang w:val="en-GB"/>
        </w:rPr>
        <w:lastRenderedPageBreak/>
        <w:t>There is no conclusive proof that Y used age (or any other discriminatory criterion) when recruiting employees</w:t>
      </w:r>
      <w:r w:rsidR="009A2468">
        <w:rPr>
          <w:lang w:val="en-GB"/>
        </w:rPr>
        <w:t xml:space="preserve"> to a waiter position</w:t>
      </w:r>
      <w:r>
        <w:rPr>
          <w:lang w:val="en-GB"/>
        </w:rPr>
        <w:t>.</w:t>
      </w:r>
    </w:p>
    <w:p w14:paraId="19E9AC39" w14:textId="5D1518CE" w:rsidR="001E685C" w:rsidRDefault="000810DC" w:rsidP="00695EF7">
      <w:pPr>
        <w:spacing w:line="360" w:lineRule="auto"/>
        <w:ind w:left="708"/>
        <w:jc w:val="both"/>
        <w:rPr>
          <w:lang w:val="en-GB"/>
        </w:rPr>
      </w:pPr>
      <w:r>
        <w:rPr>
          <w:lang w:val="en-GB"/>
        </w:rPr>
        <w:t>Even i</w:t>
      </w:r>
      <w:r w:rsidR="001E685C">
        <w:rPr>
          <w:lang w:val="en-GB"/>
        </w:rPr>
        <w:t>f the Court finds unequal treatment, it is justified:</w:t>
      </w:r>
    </w:p>
    <w:p w14:paraId="40988B66" w14:textId="77777777" w:rsidR="001E685C" w:rsidRDefault="001E685C" w:rsidP="00695EF7">
      <w:pPr>
        <w:pStyle w:val="Lijstalinea"/>
        <w:numPr>
          <w:ilvl w:val="0"/>
          <w:numId w:val="41"/>
        </w:numPr>
        <w:spacing w:line="360" w:lineRule="auto"/>
        <w:jc w:val="both"/>
        <w:rPr>
          <w:lang w:val="en-GB"/>
        </w:rPr>
      </w:pPr>
      <w:r>
        <w:rPr>
          <w:lang w:val="en-GB"/>
        </w:rPr>
        <w:t>Either due to a genuine occupational requirement of:</w:t>
      </w:r>
    </w:p>
    <w:p w14:paraId="4AB0DC2F" w14:textId="77777777" w:rsidR="001E685C" w:rsidRDefault="001E685C" w:rsidP="00695EF7">
      <w:pPr>
        <w:pStyle w:val="Lijstalinea"/>
        <w:numPr>
          <w:ilvl w:val="0"/>
          <w:numId w:val="42"/>
        </w:numPr>
        <w:spacing w:line="360" w:lineRule="auto"/>
        <w:jc w:val="both"/>
        <w:rPr>
          <w:lang w:val="en-GB"/>
        </w:rPr>
      </w:pPr>
      <w:r>
        <w:rPr>
          <w:lang w:val="en-GB"/>
        </w:rPr>
        <w:t>Physical fitness,</w:t>
      </w:r>
    </w:p>
    <w:p w14:paraId="201E1764" w14:textId="208B9E2A" w:rsidR="001E685C" w:rsidRDefault="001E685C" w:rsidP="001E685C">
      <w:pPr>
        <w:pStyle w:val="Lijstalinea"/>
        <w:numPr>
          <w:ilvl w:val="0"/>
          <w:numId w:val="42"/>
        </w:numPr>
        <w:spacing w:line="360" w:lineRule="auto"/>
        <w:jc w:val="both"/>
        <w:rPr>
          <w:lang w:val="en-GB"/>
        </w:rPr>
      </w:pPr>
      <w:r>
        <w:rPr>
          <w:lang w:val="en-GB"/>
        </w:rPr>
        <w:t>Ability to learn foreign languages and/or</w:t>
      </w:r>
    </w:p>
    <w:p w14:paraId="19C22DDE" w14:textId="77777777" w:rsidR="001E685C" w:rsidRDefault="001E685C" w:rsidP="001E685C">
      <w:pPr>
        <w:pStyle w:val="Lijstalinea"/>
        <w:numPr>
          <w:ilvl w:val="0"/>
          <w:numId w:val="42"/>
        </w:numPr>
        <w:spacing w:line="360" w:lineRule="auto"/>
        <w:jc w:val="both"/>
        <w:rPr>
          <w:lang w:val="en-GB"/>
        </w:rPr>
      </w:pPr>
      <w:r>
        <w:rPr>
          <w:lang w:val="en-GB"/>
        </w:rPr>
        <w:t>Appearance,</w:t>
      </w:r>
    </w:p>
    <w:p w14:paraId="7C3C1A0D" w14:textId="4442414F" w:rsidR="001E685C" w:rsidRDefault="001E685C" w:rsidP="001E685C">
      <w:pPr>
        <w:pStyle w:val="Lijstalinea"/>
        <w:spacing w:line="360" w:lineRule="auto"/>
        <w:ind w:left="1068"/>
        <w:jc w:val="both"/>
        <w:rPr>
          <w:lang w:val="en-GB"/>
        </w:rPr>
      </w:pPr>
      <w:r>
        <w:rPr>
          <w:lang w:val="en-GB"/>
        </w:rPr>
        <w:t>or</w:t>
      </w:r>
    </w:p>
    <w:p w14:paraId="7A7D8E3B" w14:textId="60055859" w:rsidR="00451616" w:rsidRPr="001E685C" w:rsidRDefault="006C283D" w:rsidP="001E685C">
      <w:pPr>
        <w:pStyle w:val="Lijstalinea"/>
        <w:numPr>
          <w:ilvl w:val="0"/>
          <w:numId w:val="41"/>
        </w:numPr>
        <w:spacing w:line="360" w:lineRule="auto"/>
        <w:jc w:val="both"/>
        <w:rPr>
          <w:lang w:val="en-GB"/>
        </w:rPr>
      </w:pPr>
      <w:r>
        <w:rPr>
          <w:lang w:val="en-GB"/>
        </w:rPr>
        <w:t>D</w:t>
      </w:r>
      <w:r w:rsidR="001E685C">
        <w:rPr>
          <w:lang w:val="en-GB"/>
        </w:rPr>
        <w:t>ue</w:t>
      </w:r>
      <w:r>
        <w:rPr>
          <w:lang w:val="en-GB"/>
        </w:rPr>
        <w:t xml:space="preserve"> to </w:t>
      </w:r>
      <w:r w:rsidR="0092594F">
        <w:rPr>
          <w:lang w:val="en-GB"/>
        </w:rPr>
        <w:t>a legitimate aim of integration of youth into the labour market.</w:t>
      </w:r>
      <w:r w:rsidR="00451616" w:rsidRPr="001E685C">
        <w:rPr>
          <w:lang w:val="en-GB"/>
        </w:rPr>
        <w:br w:type="page"/>
      </w:r>
    </w:p>
    <w:p w14:paraId="1075A8CB" w14:textId="63FF23C1" w:rsidR="00451616" w:rsidRPr="00AA64AE" w:rsidRDefault="00451616" w:rsidP="00FA6861">
      <w:pPr>
        <w:pStyle w:val="Kop2"/>
        <w:rPr>
          <w:lang w:val="en-GB"/>
        </w:rPr>
      </w:pPr>
      <w:bookmarkStart w:id="25" w:name="_Toc480403683"/>
      <w:bookmarkStart w:id="26" w:name="_Toc480403825"/>
      <w:bookmarkStart w:id="27" w:name="_Toc481400976"/>
      <w:r w:rsidRPr="00AA64AE">
        <w:rPr>
          <w:lang w:val="en-GB"/>
        </w:rPr>
        <w:lastRenderedPageBreak/>
        <w:t>ARGUMENTS</w:t>
      </w:r>
      <w:bookmarkEnd w:id="25"/>
      <w:bookmarkEnd w:id="26"/>
      <w:bookmarkEnd w:id="27"/>
    </w:p>
    <w:p w14:paraId="285C4397" w14:textId="77777777" w:rsidR="00531117" w:rsidRPr="00AA64AE" w:rsidRDefault="00531117" w:rsidP="0073677A">
      <w:pPr>
        <w:spacing w:line="360" w:lineRule="auto"/>
        <w:rPr>
          <w:b/>
          <w:lang w:val="en-GB"/>
        </w:rPr>
      </w:pPr>
    </w:p>
    <w:p w14:paraId="3EDB993C" w14:textId="68B27511" w:rsidR="0055424D" w:rsidRPr="00AA64AE" w:rsidRDefault="006A3F2A" w:rsidP="008A2EE8">
      <w:pPr>
        <w:pStyle w:val="Kop3"/>
        <w:numPr>
          <w:ilvl w:val="0"/>
          <w:numId w:val="8"/>
        </w:numPr>
      </w:pPr>
      <w:bookmarkStart w:id="28" w:name="_Toc480403684"/>
      <w:bookmarkStart w:id="29" w:name="_Toc480403826"/>
      <w:r w:rsidRPr="00AA64AE">
        <w:t xml:space="preserve">PLAINTIFFS HAVE NO LEGAL INTEREST </w:t>
      </w:r>
      <w:bookmarkEnd w:id="28"/>
      <w:bookmarkEnd w:id="29"/>
      <w:r w:rsidR="005D71A2">
        <w:t>IN REQUIRING A DECLARATORY JUDGMENT</w:t>
      </w:r>
    </w:p>
    <w:p w14:paraId="2BEE5191" w14:textId="77777777" w:rsidR="00156091" w:rsidRPr="00AA64AE" w:rsidRDefault="00156091" w:rsidP="00C47CB1">
      <w:pPr>
        <w:pStyle w:val="Lijstalinea"/>
        <w:spacing w:line="360" w:lineRule="auto"/>
        <w:jc w:val="both"/>
        <w:rPr>
          <w:b/>
          <w:lang w:val="en-GB"/>
        </w:rPr>
      </w:pPr>
    </w:p>
    <w:p w14:paraId="6CD8FC6A" w14:textId="71F18799" w:rsidR="00C47CB1" w:rsidRPr="00AA64AE" w:rsidRDefault="00F13B94" w:rsidP="00C47CB1">
      <w:pPr>
        <w:pStyle w:val="Lijstalinea"/>
        <w:spacing w:line="360" w:lineRule="auto"/>
        <w:jc w:val="both"/>
        <w:rPr>
          <w:lang w:val="en-GB"/>
        </w:rPr>
      </w:pPr>
      <w:r w:rsidRPr="00AA64AE">
        <w:rPr>
          <w:lang w:val="en-GB"/>
        </w:rPr>
        <w:t>The Plaintiffs have actually brought an action for a declaratory judgment. Out of four claims they formulate, two are of clearly declaratory nature (declaration of the transfer of enterprise and d</w:t>
      </w:r>
      <w:r w:rsidR="00AB52DF" w:rsidRPr="00AA64AE">
        <w:rPr>
          <w:lang w:val="en-GB"/>
        </w:rPr>
        <w:t xml:space="preserve">eclaration of the fact that </w:t>
      </w:r>
      <w:r w:rsidR="00AB5F03">
        <w:rPr>
          <w:lang w:val="en-GB"/>
        </w:rPr>
        <w:t>both plaintiffs</w:t>
      </w:r>
      <w:r w:rsidRPr="00AA64AE">
        <w:rPr>
          <w:lang w:val="en-GB"/>
        </w:rPr>
        <w:t xml:space="preserve"> suffered age discrimination). One claim is very imprecise (claim for the lack of co-operation), though the Defendant Y presumes that </w:t>
      </w:r>
      <w:r w:rsidR="00470C6C">
        <w:rPr>
          <w:lang w:val="en-GB"/>
        </w:rPr>
        <w:t xml:space="preserve">Plaintiff I </w:t>
      </w:r>
      <w:r w:rsidRPr="00AA64AE">
        <w:rPr>
          <w:lang w:val="en-GB"/>
        </w:rPr>
        <w:t>also seeks a declaratory judgment in that regard. Finally, only one claim (to oblige</w:t>
      </w:r>
      <w:r w:rsidR="00D00729" w:rsidRPr="00AA64AE">
        <w:rPr>
          <w:lang w:val="en-GB"/>
        </w:rPr>
        <w:t xml:space="preserve"> Defendant</w:t>
      </w:r>
      <w:r w:rsidRPr="00AA64AE">
        <w:rPr>
          <w:lang w:val="en-GB"/>
        </w:rPr>
        <w:t xml:space="preserve"> Y to pay </w:t>
      </w:r>
      <w:r w:rsidR="00470C6C">
        <w:rPr>
          <w:lang w:val="en-GB"/>
        </w:rPr>
        <w:t xml:space="preserve">Plaintiff </w:t>
      </w:r>
      <w:r w:rsidR="007373CF">
        <w:rPr>
          <w:lang w:val="en-GB"/>
        </w:rPr>
        <w:t>I</w:t>
      </w:r>
      <w:r w:rsidRPr="00AA64AE">
        <w:rPr>
          <w:lang w:val="en-GB"/>
        </w:rPr>
        <w:t xml:space="preserve">’s jubilee award) allows the Court in the present case to </w:t>
      </w:r>
      <w:r w:rsidR="00573B96">
        <w:rPr>
          <w:lang w:val="en-GB"/>
        </w:rPr>
        <w:t xml:space="preserve">fully </w:t>
      </w:r>
      <w:r w:rsidR="00D00729" w:rsidRPr="00AA64AE">
        <w:rPr>
          <w:lang w:val="en-GB"/>
        </w:rPr>
        <w:t xml:space="preserve">investigate the </w:t>
      </w:r>
      <w:r w:rsidR="00573B96">
        <w:rPr>
          <w:lang w:val="en-GB"/>
        </w:rPr>
        <w:t xml:space="preserve">issue and </w:t>
      </w:r>
      <w:r w:rsidR="00D4296B" w:rsidRPr="00AA64AE">
        <w:rPr>
          <w:lang w:val="en-GB"/>
        </w:rPr>
        <w:t>give the</w:t>
      </w:r>
      <w:r w:rsidR="00D00729" w:rsidRPr="00AA64AE">
        <w:rPr>
          <w:lang w:val="en-GB"/>
        </w:rPr>
        <w:t xml:space="preserve"> judgment as to the merits of </w:t>
      </w:r>
      <w:r w:rsidR="00083F78" w:rsidRPr="00AA64AE">
        <w:rPr>
          <w:lang w:val="en-GB"/>
        </w:rPr>
        <w:t>the case.</w:t>
      </w:r>
    </w:p>
    <w:p w14:paraId="1DD94463" w14:textId="59EBFCAE" w:rsidR="00083F78" w:rsidRPr="00AA64AE" w:rsidRDefault="00083F78" w:rsidP="00C47CB1">
      <w:pPr>
        <w:pStyle w:val="Lijstalinea"/>
        <w:spacing w:line="360" w:lineRule="auto"/>
        <w:jc w:val="both"/>
        <w:rPr>
          <w:lang w:val="en-GB"/>
        </w:rPr>
      </w:pPr>
      <w:r w:rsidRPr="00AA64AE">
        <w:rPr>
          <w:lang w:val="en-GB"/>
        </w:rPr>
        <w:t>It has been widely accepted, both in the national civil procedures of the Member States, and in the European Union law, that a plaintiff must have an interest in bringing proceedings each time he seeks a declaratory judgment. It is for the plaintiff to “</w:t>
      </w:r>
      <w:r w:rsidRPr="00AA64AE">
        <w:rPr>
          <w:b/>
          <w:i/>
          <w:lang w:val="en-GB"/>
        </w:rPr>
        <w:t>plead and prove that such an interest exists</w:t>
      </w:r>
      <w:r w:rsidRPr="00AA64AE">
        <w:rPr>
          <w:lang w:val="en-GB"/>
        </w:rPr>
        <w:t>”</w:t>
      </w:r>
      <w:r w:rsidRPr="00AA64AE">
        <w:rPr>
          <w:rStyle w:val="Voetnootmarkering"/>
          <w:lang w:val="en-GB"/>
        </w:rPr>
        <w:footnoteReference w:id="1"/>
      </w:r>
      <w:r w:rsidRPr="00AA64AE">
        <w:rPr>
          <w:lang w:val="en-GB"/>
        </w:rPr>
        <w:t>.</w:t>
      </w:r>
      <w:r w:rsidR="007C12DD" w:rsidRPr="00AA64AE">
        <w:rPr>
          <w:lang w:val="en-GB"/>
        </w:rPr>
        <w:t xml:space="preserve"> </w:t>
      </w:r>
      <w:r w:rsidR="002F05CE" w:rsidRPr="00AA64AE">
        <w:rPr>
          <w:lang w:val="en-GB"/>
        </w:rPr>
        <w:t>Certainly,</w:t>
      </w:r>
      <w:r w:rsidR="007C12DD" w:rsidRPr="00AA64AE">
        <w:rPr>
          <w:lang w:val="en-GB"/>
        </w:rPr>
        <w:t xml:space="preserve"> it is not enough to provide only “</w:t>
      </w:r>
      <w:r w:rsidR="007C12DD" w:rsidRPr="00AA64AE">
        <w:rPr>
          <w:i/>
          <w:lang w:val="en-GB"/>
        </w:rPr>
        <w:t>imprecise statements</w:t>
      </w:r>
      <w:r w:rsidR="007C12DD" w:rsidRPr="00AA64AE">
        <w:rPr>
          <w:lang w:val="en-GB"/>
        </w:rPr>
        <w:t>” that would relate to the “</w:t>
      </w:r>
      <w:r w:rsidR="007C12DD" w:rsidRPr="00AA64AE">
        <w:rPr>
          <w:i/>
          <w:lang w:val="en-GB"/>
        </w:rPr>
        <w:t>uncertainty</w:t>
      </w:r>
      <w:r w:rsidR="002F05CE" w:rsidRPr="00AA64AE">
        <w:rPr>
          <w:lang w:val="en-GB"/>
        </w:rPr>
        <w:t>” of the plaintiff’s position. The plaintiff must provide</w:t>
      </w:r>
      <w:r w:rsidR="00277168" w:rsidRPr="00AA64AE">
        <w:rPr>
          <w:lang w:val="en-GB"/>
        </w:rPr>
        <w:t xml:space="preserve"> in such case</w:t>
      </w:r>
      <w:r w:rsidR="002F05CE" w:rsidRPr="00AA64AE">
        <w:rPr>
          <w:lang w:val="en-GB"/>
        </w:rPr>
        <w:t xml:space="preserve"> a “</w:t>
      </w:r>
      <w:r w:rsidR="002F05CE" w:rsidRPr="00AA64AE">
        <w:rPr>
          <w:i/>
          <w:lang w:val="en-GB"/>
        </w:rPr>
        <w:t>substantiated argument […] why judicial protection is required</w:t>
      </w:r>
      <w:r w:rsidR="002F05CE" w:rsidRPr="00AA64AE">
        <w:rPr>
          <w:lang w:val="en-GB"/>
        </w:rPr>
        <w:t xml:space="preserve">”. </w:t>
      </w:r>
      <w:r w:rsidR="008D3117">
        <w:rPr>
          <w:lang w:val="en-GB"/>
        </w:rPr>
        <w:t>A</w:t>
      </w:r>
      <w:r w:rsidR="00851758" w:rsidRPr="00AA64AE">
        <w:rPr>
          <w:lang w:val="en-GB"/>
        </w:rPr>
        <w:t xml:space="preserve"> </w:t>
      </w:r>
      <w:r w:rsidR="002F05CE" w:rsidRPr="00AA64AE">
        <w:rPr>
          <w:lang w:val="en-GB"/>
        </w:rPr>
        <w:t xml:space="preserve">clear distinction </w:t>
      </w:r>
      <w:r w:rsidR="008D3117">
        <w:rPr>
          <w:lang w:val="en-GB"/>
        </w:rPr>
        <w:t xml:space="preserve">was made </w:t>
      </w:r>
      <w:r w:rsidR="002F05CE" w:rsidRPr="00AA64AE">
        <w:rPr>
          <w:lang w:val="en-GB"/>
        </w:rPr>
        <w:t>between, on the one hand – an action for performance, where plaintiffs intend to obtain “</w:t>
      </w:r>
      <w:r w:rsidR="002F05CE" w:rsidRPr="00AA64AE">
        <w:rPr>
          <w:i/>
          <w:lang w:val="en-GB"/>
        </w:rPr>
        <w:t>satisfaction of specific claims</w:t>
      </w:r>
      <w:r w:rsidR="002F05CE" w:rsidRPr="00AA64AE">
        <w:rPr>
          <w:lang w:val="en-GB"/>
        </w:rPr>
        <w:t>”, while the interest in bringing proceedings may be “</w:t>
      </w:r>
      <w:r w:rsidR="002F05CE" w:rsidRPr="00AA64AE">
        <w:rPr>
          <w:i/>
          <w:lang w:val="en-GB"/>
        </w:rPr>
        <w:t>inferred automatically from the context</w:t>
      </w:r>
      <w:r w:rsidR="002F05CE" w:rsidRPr="00AA64AE">
        <w:rPr>
          <w:lang w:val="en-GB"/>
        </w:rPr>
        <w:t>” of the plaintiff’s claim itself and</w:t>
      </w:r>
      <w:r w:rsidR="00A65820" w:rsidRPr="00AA64AE">
        <w:rPr>
          <w:lang w:val="en-GB"/>
        </w:rPr>
        <w:t>,</w:t>
      </w:r>
      <w:r w:rsidR="002F05CE" w:rsidRPr="00AA64AE">
        <w:rPr>
          <w:lang w:val="en-GB"/>
        </w:rPr>
        <w:t xml:space="preserve"> on the other hand – a declaratory judgment, in which plaintiffs demand declaration “</w:t>
      </w:r>
      <w:r w:rsidR="002F05CE" w:rsidRPr="00AA64AE">
        <w:rPr>
          <w:i/>
          <w:lang w:val="en-GB"/>
        </w:rPr>
        <w:t>that a legal relationship or a particular right does or does not exist</w:t>
      </w:r>
      <w:r w:rsidR="002F05CE" w:rsidRPr="00AA64AE">
        <w:rPr>
          <w:lang w:val="en-GB"/>
        </w:rPr>
        <w:t>”. This is not the role of the Court “</w:t>
      </w:r>
      <w:r w:rsidR="002F05CE" w:rsidRPr="00AA64AE">
        <w:rPr>
          <w:b/>
          <w:i/>
          <w:lang w:val="en-GB"/>
        </w:rPr>
        <w:t>to issue abstract legal opinions</w:t>
      </w:r>
      <w:r w:rsidR="002F05CE" w:rsidRPr="00AA64AE">
        <w:rPr>
          <w:lang w:val="en-GB"/>
        </w:rPr>
        <w:t>”</w:t>
      </w:r>
      <w:r w:rsidR="00DF77E6" w:rsidRPr="00AA64AE">
        <w:rPr>
          <w:rStyle w:val="Voetnootmarkering"/>
          <w:lang w:val="en-GB"/>
        </w:rPr>
        <w:footnoteReference w:id="2"/>
      </w:r>
      <w:r w:rsidR="002F05CE" w:rsidRPr="00AA64AE">
        <w:rPr>
          <w:lang w:val="en-GB"/>
        </w:rPr>
        <w:t xml:space="preserve">. Neither is it the role of the defendant to guess what the plaintiffs’ intentions are. In the present </w:t>
      </w:r>
      <w:r w:rsidR="00D1614B" w:rsidRPr="00AA64AE">
        <w:rPr>
          <w:lang w:val="en-GB"/>
        </w:rPr>
        <w:t>case,</w:t>
      </w:r>
      <w:r w:rsidR="002F05CE" w:rsidRPr="00AA64AE">
        <w:rPr>
          <w:lang w:val="en-GB"/>
        </w:rPr>
        <w:t xml:space="preserve"> the Plaintiffs did not question termination of their employment contracts. </w:t>
      </w:r>
      <w:r w:rsidR="00D24E17" w:rsidRPr="00AA64AE">
        <w:rPr>
          <w:lang w:val="en-GB"/>
        </w:rPr>
        <w:t>Neither did they</w:t>
      </w:r>
      <w:r w:rsidR="002F05CE" w:rsidRPr="00AA64AE">
        <w:rPr>
          <w:lang w:val="en-GB"/>
        </w:rPr>
        <w:t xml:space="preserve"> demand that an employment relationship be established with Y.</w:t>
      </w:r>
      <w:r w:rsidR="00A65820" w:rsidRPr="00AA64AE">
        <w:rPr>
          <w:lang w:val="en-GB"/>
        </w:rPr>
        <w:t xml:space="preserve"> Therefore, it remains unknown why they wish to obtain declaration of a transfer of enterprise.</w:t>
      </w:r>
      <w:r w:rsidR="002F05CE" w:rsidRPr="00AA64AE">
        <w:rPr>
          <w:lang w:val="en-GB"/>
        </w:rPr>
        <w:t xml:space="preserve"> They also fail</w:t>
      </w:r>
      <w:r w:rsidR="004E48F7" w:rsidRPr="00AA64AE">
        <w:rPr>
          <w:lang w:val="en-GB"/>
        </w:rPr>
        <w:t>ed</w:t>
      </w:r>
      <w:r w:rsidR="002F05CE" w:rsidRPr="00AA64AE">
        <w:rPr>
          <w:lang w:val="en-GB"/>
        </w:rPr>
        <w:t xml:space="preserve"> to provide the legal </w:t>
      </w:r>
      <w:r w:rsidR="002F05CE" w:rsidRPr="00AA64AE">
        <w:rPr>
          <w:lang w:val="en-GB"/>
        </w:rPr>
        <w:lastRenderedPageBreak/>
        <w:t>interest in the claim for “</w:t>
      </w:r>
      <w:r w:rsidR="002F05CE" w:rsidRPr="00AA64AE">
        <w:rPr>
          <w:i/>
          <w:lang w:val="en-GB"/>
        </w:rPr>
        <w:t>the lack of cooperation</w:t>
      </w:r>
      <w:r w:rsidR="002F05CE" w:rsidRPr="00AA64AE">
        <w:rPr>
          <w:lang w:val="en-GB"/>
        </w:rPr>
        <w:t xml:space="preserve">” and </w:t>
      </w:r>
      <w:r w:rsidR="00121C90" w:rsidRPr="00AA64AE">
        <w:rPr>
          <w:lang w:val="en-GB"/>
        </w:rPr>
        <w:t xml:space="preserve">a </w:t>
      </w:r>
      <w:r w:rsidR="002F05CE" w:rsidRPr="00AA64AE">
        <w:rPr>
          <w:lang w:val="en-GB"/>
        </w:rPr>
        <w:t>declaration of discrimination.</w:t>
      </w:r>
      <w:r w:rsidR="00AB5F03">
        <w:rPr>
          <w:lang w:val="en-GB"/>
        </w:rPr>
        <w:t xml:space="preserve"> It </w:t>
      </w:r>
      <w:r w:rsidR="00F204AC">
        <w:rPr>
          <w:lang w:val="en-GB"/>
        </w:rPr>
        <w:t>is also completely unclear</w:t>
      </w:r>
      <w:r w:rsidR="00AB5F03">
        <w:rPr>
          <w:lang w:val="en-GB"/>
        </w:rPr>
        <w:t xml:space="preserve"> why </w:t>
      </w:r>
      <w:r w:rsidR="006352F7">
        <w:rPr>
          <w:lang w:val="en-GB"/>
        </w:rPr>
        <w:t>Plaintiff II</w:t>
      </w:r>
      <w:r w:rsidR="00AB5F03">
        <w:rPr>
          <w:lang w:val="en-GB"/>
        </w:rPr>
        <w:t xml:space="preserve"> demands that both he and </w:t>
      </w:r>
      <w:r w:rsidR="00573B96">
        <w:rPr>
          <w:lang w:val="en-GB"/>
        </w:rPr>
        <w:t xml:space="preserve">Plaintiff </w:t>
      </w:r>
      <w:r w:rsidR="007373CF">
        <w:rPr>
          <w:lang w:val="en-GB"/>
        </w:rPr>
        <w:t>I</w:t>
      </w:r>
      <w:r w:rsidR="00AB5F03">
        <w:rPr>
          <w:lang w:val="en-GB"/>
        </w:rPr>
        <w:t xml:space="preserve"> suffered discrimination.</w:t>
      </w:r>
      <w:r w:rsidR="008374C1" w:rsidRPr="00AA64AE">
        <w:rPr>
          <w:lang w:val="en-GB"/>
        </w:rPr>
        <w:t xml:space="preserve"> </w:t>
      </w:r>
      <w:r w:rsidR="00F204AC">
        <w:rPr>
          <w:lang w:val="en-GB"/>
        </w:rPr>
        <w:t>Considering the above,</w:t>
      </w:r>
      <w:r w:rsidR="001C522F" w:rsidRPr="00AA64AE">
        <w:rPr>
          <w:lang w:val="en-GB"/>
        </w:rPr>
        <w:t xml:space="preserve"> those claims</w:t>
      </w:r>
      <w:r w:rsidR="008374C1" w:rsidRPr="00AA64AE">
        <w:rPr>
          <w:lang w:val="en-GB"/>
        </w:rPr>
        <w:t xml:space="preserve"> should be all dismissed.</w:t>
      </w:r>
    </w:p>
    <w:p w14:paraId="689A366A" w14:textId="77777777" w:rsidR="00C47CB1" w:rsidRPr="00AA64AE" w:rsidRDefault="00C47CB1" w:rsidP="00C47CB1">
      <w:pPr>
        <w:pStyle w:val="Lijstalinea"/>
        <w:spacing w:line="360" w:lineRule="auto"/>
        <w:jc w:val="both"/>
        <w:rPr>
          <w:lang w:val="en-GB"/>
        </w:rPr>
      </w:pPr>
    </w:p>
    <w:p w14:paraId="4D2EEB44" w14:textId="6DC78135" w:rsidR="00C978D5" w:rsidRPr="00AA64AE" w:rsidRDefault="006A3F2A" w:rsidP="00FA6861">
      <w:pPr>
        <w:pStyle w:val="Kop3"/>
      </w:pPr>
      <w:r w:rsidRPr="00AA64AE">
        <w:t>THERE HAS BEEN NO TRANSFER OF UNDERTAKING</w:t>
      </w:r>
    </w:p>
    <w:p w14:paraId="3000AE64" w14:textId="77777777" w:rsidR="009A420F" w:rsidRDefault="009A420F" w:rsidP="0073677A">
      <w:pPr>
        <w:pStyle w:val="Lijstalinea"/>
        <w:spacing w:line="360" w:lineRule="auto"/>
        <w:rPr>
          <w:lang w:val="en-GB"/>
        </w:rPr>
      </w:pPr>
    </w:p>
    <w:p w14:paraId="1C047682" w14:textId="334AE0D5" w:rsidR="00C978D5" w:rsidRDefault="009A420F" w:rsidP="00695EF7">
      <w:pPr>
        <w:pStyle w:val="Lijstalinea"/>
        <w:spacing w:line="360" w:lineRule="auto"/>
        <w:jc w:val="both"/>
        <w:rPr>
          <w:lang w:val="en-GB"/>
        </w:rPr>
      </w:pPr>
      <w:r w:rsidRPr="00AA64AE">
        <w:rPr>
          <w:lang w:val="en-GB"/>
        </w:rPr>
        <w:t>If the Court finds that the Plaintiffs have legal interest in initiating these proceedings, the Defendant Y would like to state that there</w:t>
      </w:r>
      <w:r w:rsidR="00470C6C">
        <w:rPr>
          <w:lang w:val="en-GB"/>
        </w:rPr>
        <w:t xml:space="preserve"> was no transfer of undertaking (or a part thereof).</w:t>
      </w:r>
    </w:p>
    <w:p w14:paraId="00627F6B" w14:textId="77777777" w:rsidR="00B939EB" w:rsidRDefault="00B939EB" w:rsidP="0073677A">
      <w:pPr>
        <w:pStyle w:val="Lijstalinea"/>
        <w:spacing w:line="360" w:lineRule="auto"/>
        <w:rPr>
          <w:lang w:val="en-GB"/>
        </w:rPr>
      </w:pPr>
    </w:p>
    <w:p w14:paraId="2EA89ED3" w14:textId="77777777" w:rsidR="00B939EB" w:rsidRPr="00AA64AE" w:rsidRDefault="00B939EB" w:rsidP="00B939EB">
      <w:pPr>
        <w:pStyle w:val="Kop4"/>
      </w:pPr>
      <w:r w:rsidRPr="00AA64AE">
        <w:t>The x’s restaurant was not capable of being transferred</w:t>
      </w:r>
    </w:p>
    <w:p w14:paraId="15E1BF53" w14:textId="77777777" w:rsidR="00B939EB" w:rsidRPr="00AA64AE" w:rsidRDefault="00B939EB" w:rsidP="00B939EB">
      <w:pPr>
        <w:pStyle w:val="Lijstalinea"/>
        <w:spacing w:line="360" w:lineRule="auto"/>
        <w:jc w:val="both"/>
        <w:rPr>
          <w:rFonts w:eastAsia="Times New Roman"/>
          <w:color w:val="444444"/>
          <w:sz w:val="22"/>
          <w:szCs w:val="22"/>
          <w:bdr w:val="none" w:sz="0" w:space="0" w:color="auto" w:frame="1"/>
          <w:lang w:val="en-GB"/>
        </w:rPr>
      </w:pPr>
      <w:bookmarkStart w:id="30" w:name="point42"/>
    </w:p>
    <w:p w14:paraId="10758F40" w14:textId="1C474CBA" w:rsidR="00B939EB" w:rsidRPr="00AA64AE" w:rsidRDefault="00AE4AD9" w:rsidP="00B939EB">
      <w:pPr>
        <w:pStyle w:val="Lijstalinea"/>
        <w:spacing w:line="360" w:lineRule="auto"/>
        <w:jc w:val="both"/>
        <w:rPr>
          <w:lang w:val="en-GB"/>
        </w:rPr>
      </w:pPr>
      <w:r>
        <w:rPr>
          <w:lang w:val="en-GB"/>
        </w:rPr>
        <w:t xml:space="preserve">The </w:t>
      </w:r>
      <w:r w:rsidR="00B939EB" w:rsidRPr="00AA64AE">
        <w:rPr>
          <w:lang w:val="en-GB"/>
        </w:rPr>
        <w:t>X’s restaurant does not constitute an entity which is capable of being transferred</w:t>
      </w:r>
      <w:r w:rsidR="00B939EB">
        <w:rPr>
          <w:lang w:val="en-GB"/>
        </w:rPr>
        <w:t xml:space="preserve"> as a part of underta</w:t>
      </w:r>
      <w:r w:rsidR="00027A07">
        <w:rPr>
          <w:lang w:val="en-GB"/>
        </w:rPr>
        <w:t>king within the meaning of art.</w:t>
      </w:r>
      <w:r>
        <w:rPr>
          <w:lang w:val="en-GB"/>
        </w:rPr>
        <w:t xml:space="preserve"> </w:t>
      </w:r>
      <w:r w:rsidR="00B939EB">
        <w:rPr>
          <w:lang w:val="en-GB"/>
        </w:rPr>
        <w:t>1(1) of the 2001/23 Directive.</w:t>
      </w:r>
      <w:r w:rsidR="00B939EB" w:rsidRPr="00AA64AE">
        <w:rPr>
          <w:lang w:val="en-GB"/>
        </w:rPr>
        <w:t xml:space="preserve"> The definition of an undertaking or a part thereof is flexible and depends on the sector in which an enterprise operates. Thus, in case of sectors based on manpower, a “</w:t>
      </w:r>
      <w:r w:rsidR="00B939EB" w:rsidRPr="00AA64AE">
        <w:rPr>
          <w:i/>
          <w:lang w:val="en-GB"/>
        </w:rPr>
        <w:t>structured group of workers</w:t>
      </w:r>
      <w:r w:rsidR="00B939EB" w:rsidRPr="00AA64AE">
        <w:rPr>
          <w:lang w:val="en-GB"/>
        </w:rPr>
        <w:t>” may correspond to an economic entity for the purposes of the Directive</w:t>
      </w:r>
      <w:r w:rsidR="00B939EB" w:rsidRPr="00AA64AE">
        <w:rPr>
          <w:rStyle w:val="Voetnootmarkering"/>
          <w:lang w:val="en-GB"/>
        </w:rPr>
        <w:footnoteReference w:id="3"/>
      </w:r>
      <w:r w:rsidR="00B939EB" w:rsidRPr="00AA64AE">
        <w:rPr>
          <w:lang w:val="en-GB"/>
        </w:rPr>
        <w:t xml:space="preserve">. On the other hand, that would mean that in case of sectors based on equipment (such as catering in our case), ‘an economic entity’ shall be viewed through the prism of tangible assets it possesses. As explained </w:t>
      </w:r>
      <w:r w:rsidR="00B939EB">
        <w:rPr>
          <w:lang w:val="en-GB"/>
        </w:rPr>
        <w:t>below</w:t>
      </w:r>
      <w:r w:rsidR="00B939EB" w:rsidRPr="00AA64AE">
        <w:rPr>
          <w:lang w:val="en-GB"/>
        </w:rPr>
        <w:t xml:space="preserve">, X leased the kitchen from the real estate lessor, while all its tools and accessories from other institutions. It means that it would not be possible to transfer this economic entity understood as an assemble of material assets, because they were leased from at least two different subjects. X seems to have had no assets on its own that could be sold and acquired </w:t>
      </w:r>
      <w:r w:rsidR="00B939EB" w:rsidRPr="00AA64AE">
        <w:rPr>
          <w:i/>
          <w:lang w:val="en-GB"/>
        </w:rPr>
        <w:t>uno actu</w:t>
      </w:r>
      <w:r w:rsidR="00B939EB">
        <w:rPr>
          <w:lang w:val="en-GB"/>
        </w:rPr>
        <w:t xml:space="preserve"> by another entity (such as Y), since the premises, equipment, tools and accessories came from different </w:t>
      </w:r>
      <w:r w:rsidR="00974371">
        <w:rPr>
          <w:lang w:val="en-GB"/>
        </w:rPr>
        <w:t xml:space="preserve">individuals or institutions. In order to acquire or </w:t>
      </w:r>
      <w:r w:rsidR="00DC67CC">
        <w:rPr>
          <w:lang w:val="en-GB"/>
        </w:rPr>
        <w:t xml:space="preserve">lease </w:t>
      </w:r>
      <w:r w:rsidR="00974371">
        <w:rPr>
          <w:lang w:val="en-GB"/>
        </w:rPr>
        <w:t>all these elements, one would have to conclude a number of contracts with different entities. The facts of the case indicate however, that Y contracted only with the real estate lessor</w:t>
      </w:r>
      <w:r w:rsidR="005A7954">
        <w:rPr>
          <w:lang w:val="en-GB"/>
        </w:rPr>
        <w:t xml:space="preserve"> and nobody else</w:t>
      </w:r>
      <w:r w:rsidR="00974371">
        <w:rPr>
          <w:lang w:val="en-GB"/>
        </w:rPr>
        <w:t xml:space="preserve">. </w:t>
      </w:r>
      <w:r w:rsidR="00802E6F">
        <w:rPr>
          <w:lang w:val="en-GB"/>
        </w:rPr>
        <w:t>The lease of premises and possession of</w:t>
      </w:r>
      <w:r w:rsidR="00E13C88">
        <w:rPr>
          <w:lang w:val="en-GB"/>
        </w:rPr>
        <w:t xml:space="preserve"> cooking</w:t>
      </w:r>
      <w:r w:rsidR="00802E6F">
        <w:rPr>
          <w:lang w:val="en-GB"/>
        </w:rPr>
        <w:t xml:space="preserve"> equipment used by X would be enough to operate a simple kitchen</w:t>
      </w:r>
      <w:r w:rsidR="00E12BFF">
        <w:rPr>
          <w:lang w:val="en-GB"/>
        </w:rPr>
        <w:t xml:space="preserve"> as such</w:t>
      </w:r>
      <w:r w:rsidR="00802E6F">
        <w:rPr>
          <w:lang w:val="en-GB"/>
        </w:rPr>
        <w:t>, but not the whole restaurant, which requires much more “</w:t>
      </w:r>
      <w:r w:rsidR="00802E6F" w:rsidRPr="00802E6F">
        <w:rPr>
          <w:i/>
          <w:lang w:val="en-GB"/>
        </w:rPr>
        <w:t>tools and accessories</w:t>
      </w:r>
      <w:r w:rsidR="00802E6F">
        <w:rPr>
          <w:lang w:val="en-GB"/>
        </w:rPr>
        <w:t xml:space="preserve">”, </w:t>
      </w:r>
      <w:r w:rsidR="00493901">
        <w:rPr>
          <w:lang w:val="en-GB"/>
        </w:rPr>
        <w:t xml:space="preserve">including </w:t>
      </w:r>
      <w:r w:rsidR="00802E6F">
        <w:rPr>
          <w:lang w:val="en-GB"/>
        </w:rPr>
        <w:t xml:space="preserve">all sorts of furniture, </w:t>
      </w:r>
      <w:r w:rsidR="00802E6F" w:rsidRPr="00AA64AE">
        <w:rPr>
          <w:lang w:val="en-GB"/>
        </w:rPr>
        <w:t xml:space="preserve">cutlery, glassware </w:t>
      </w:r>
      <w:r w:rsidR="00802E6F" w:rsidRPr="00AA64AE">
        <w:rPr>
          <w:lang w:val="en-GB"/>
        </w:rPr>
        <w:lastRenderedPageBreak/>
        <w:t>or tablecloths</w:t>
      </w:r>
      <w:r w:rsidR="003A3FC5">
        <w:rPr>
          <w:lang w:val="en-GB"/>
        </w:rPr>
        <w:t xml:space="preserve">. </w:t>
      </w:r>
      <w:r w:rsidR="00974371">
        <w:rPr>
          <w:lang w:val="en-GB"/>
        </w:rPr>
        <w:t xml:space="preserve">It remains unknown who is in possession of the remaining part of X’s assets after its dining room ceased to operate. </w:t>
      </w:r>
    </w:p>
    <w:p w14:paraId="0905314B" w14:textId="402F8014" w:rsidR="00B939EB" w:rsidRPr="00AA64AE" w:rsidRDefault="00B939EB" w:rsidP="00B939EB">
      <w:pPr>
        <w:pStyle w:val="Lijstalinea"/>
        <w:spacing w:line="360" w:lineRule="auto"/>
        <w:jc w:val="both"/>
        <w:rPr>
          <w:lang w:val="en-GB"/>
        </w:rPr>
      </w:pPr>
      <w:r w:rsidRPr="00AA64AE">
        <w:rPr>
          <w:lang w:val="en-GB"/>
        </w:rPr>
        <w:t>Furthermore, X’s restaurant operated in the same building with veterinary office and it is actually referred to as a “</w:t>
      </w:r>
      <w:r w:rsidRPr="00AA64AE">
        <w:rPr>
          <w:i/>
          <w:lang w:val="en-GB"/>
        </w:rPr>
        <w:t>dining room</w:t>
      </w:r>
      <w:r w:rsidRPr="00AA64AE">
        <w:rPr>
          <w:lang w:val="en-GB"/>
        </w:rPr>
        <w:t>”</w:t>
      </w:r>
      <w:r w:rsidR="00C42881">
        <w:rPr>
          <w:lang w:val="en-GB"/>
        </w:rPr>
        <w:t>,</w:t>
      </w:r>
      <w:r w:rsidR="00C30C5A">
        <w:rPr>
          <w:lang w:val="en-GB"/>
        </w:rPr>
        <w:t xml:space="preserve"> while</w:t>
      </w:r>
      <w:r>
        <w:rPr>
          <w:lang w:val="en-GB"/>
        </w:rPr>
        <w:t xml:space="preserve"> the evidence in place suggest that it</w:t>
      </w:r>
      <w:r w:rsidR="00ED1B19">
        <w:rPr>
          <w:lang w:val="en-GB"/>
        </w:rPr>
        <w:t xml:space="preserve"> was an in-house restaurant, which means that it</w:t>
      </w:r>
      <w:r>
        <w:rPr>
          <w:lang w:val="en-GB"/>
        </w:rPr>
        <w:t xml:space="preserve"> mostly</w:t>
      </w:r>
      <w:r w:rsidRPr="00AA64AE">
        <w:rPr>
          <w:lang w:val="en-GB"/>
        </w:rPr>
        <w:t xml:space="preserve"> served office workers rather than had random clients coming</w:t>
      </w:r>
      <w:r w:rsidR="00212923">
        <w:rPr>
          <w:lang w:val="en-GB"/>
        </w:rPr>
        <w:t xml:space="preserve"> from the city. Therefore, it was</w:t>
      </w:r>
      <w:r w:rsidRPr="00AA64AE">
        <w:rPr>
          <w:lang w:val="en-GB"/>
        </w:rPr>
        <w:t xml:space="preserve"> probably only an ancillary activity of the veterinary office. This office is not capable of being transferred as it does not pursue an economic activity. It carries out i.a. “</w:t>
      </w:r>
      <w:r w:rsidRPr="00AA64AE">
        <w:rPr>
          <w:i/>
          <w:lang w:val="en-GB"/>
        </w:rPr>
        <w:t>official epidemiological tasks</w:t>
      </w:r>
      <w:r w:rsidRPr="00AA64AE">
        <w:rPr>
          <w:lang w:val="en-GB"/>
        </w:rPr>
        <w:t>” and issues pet passports which, according to the CJEU, would mean that such activity falls within the exercise of public powers and is not in competition with services offered by</w:t>
      </w:r>
      <w:r w:rsidR="00470C6C">
        <w:rPr>
          <w:lang w:val="en-GB"/>
        </w:rPr>
        <w:t xml:space="preserve"> other</w:t>
      </w:r>
      <w:r w:rsidRPr="00AA64AE">
        <w:rPr>
          <w:lang w:val="en-GB"/>
        </w:rPr>
        <w:t xml:space="preserve"> private operators</w:t>
      </w:r>
      <w:r w:rsidRPr="00AA64AE">
        <w:rPr>
          <w:rStyle w:val="Voetnootmarkering"/>
          <w:lang w:val="en-GB"/>
        </w:rPr>
        <w:footnoteReference w:id="4"/>
      </w:r>
      <w:r w:rsidRPr="00AA64AE">
        <w:rPr>
          <w:lang w:val="en-GB"/>
        </w:rPr>
        <w:t xml:space="preserve">. Besides, </w:t>
      </w:r>
      <w:r w:rsidR="005C4F40">
        <w:rPr>
          <w:lang w:val="en-GB"/>
        </w:rPr>
        <w:t>according to the case-law,</w:t>
      </w:r>
      <w:r w:rsidR="005C4F40" w:rsidRPr="00AA64AE">
        <w:rPr>
          <w:lang w:val="en-GB"/>
        </w:rPr>
        <w:t xml:space="preserve"> </w:t>
      </w:r>
      <w:r w:rsidRPr="00AA64AE">
        <w:rPr>
          <w:lang w:val="en-GB"/>
        </w:rPr>
        <w:t>in case of a transfer of an ancillary activity, the services carried out before and after the transfer must be exactly the same</w:t>
      </w:r>
      <w:r w:rsidR="005C4F40">
        <w:rPr>
          <w:lang w:val="en-GB"/>
        </w:rPr>
        <w:t xml:space="preserve"> </w:t>
      </w:r>
      <w:r w:rsidRPr="00AA64AE">
        <w:rPr>
          <w:lang w:val="en-GB"/>
        </w:rPr>
        <w:t>– for example an enterprise runs a canteen for its employees and t</w:t>
      </w:r>
      <w:r w:rsidR="007E386F">
        <w:rPr>
          <w:lang w:val="en-GB"/>
        </w:rPr>
        <w:t>hen, entrusts management of the very same</w:t>
      </w:r>
      <w:r w:rsidRPr="00AA64AE">
        <w:rPr>
          <w:lang w:val="en-GB"/>
        </w:rPr>
        <w:t xml:space="preserve"> canteen to another entity</w:t>
      </w:r>
      <w:r w:rsidRPr="00AA64AE">
        <w:rPr>
          <w:rStyle w:val="Voetnootmarkering"/>
          <w:lang w:val="en-GB"/>
        </w:rPr>
        <w:footnoteReference w:id="5"/>
      </w:r>
      <w:r w:rsidRPr="00AA64AE">
        <w:rPr>
          <w:lang w:val="en-GB"/>
        </w:rPr>
        <w:t>. However</w:t>
      </w:r>
      <w:r w:rsidR="001F2A31">
        <w:rPr>
          <w:lang w:val="en-GB"/>
        </w:rPr>
        <w:t>, in this case, as set out below</w:t>
      </w:r>
      <w:r w:rsidRPr="00AA64AE">
        <w:rPr>
          <w:lang w:val="en-GB"/>
        </w:rPr>
        <w:t>, Y will run an exclusive Italian bar &amp; restaurant and does not intend to continue the operation of X’s “</w:t>
      </w:r>
      <w:r w:rsidRPr="00AA64AE">
        <w:rPr>
          <w:i/>
          <w:lang w:val="en-GB"/>
        </w:rPr>
        <w:t>dining room</w:t>
      </w:r>
      <w:r w:rsidRPr="00AA64AE">
        <w:rPr>
          <w:lang w:val="en-GB"/>
        </w:rPr>
        <w:t>”</w:t>
      </w:r>
      <w:bookmarkEnd w:id="30"/>
      <w:r w:rsidRPr="00AA64AE">
        <w:rPr>
          <w:lang w:val="en-GB"/>
        </w:rPr>
        <w:t xml:space="preserve"> anyway.</w:t>
      </w:r>
    </w:p>
    <w:p w14:paraId="252EECED" w14:textId="77777777" w:rsidR="009A420F" w:rsidRPr="00AA64AE" w:rsidRDefault="009A420F" w:rsidP="00F10E1E">
      <w:pPr>
        <w:pStyle w:val="Kop4"/>
        <w:numPr>
          <w:ilvl w:val="0"/>
          <w:numId w:val="0"/>
        </w:numPr>
        <w:ind w:left="720"/>
        <w:rPr>
          <w:b w:val="0"/>
        </w:rPr>
      </w:pPr>
    </w:p>
    <w:p w14:paraId="186C77BD" w14:textId="7FA2D3E9" w:rsidR="000E74D2" w:rsidRPr="00AA64AE" w:rsidRDefault="000E74D2" w:rsidP="005E7284">
      <w:pPr>
        <w:pStyle w:val="Kop4"/>
      </w:pPr>
      <w:r w:rsidRPr="00AA64AE">
        <w:t>There was no legal transfer or merger</w:t>
      </w:r>
    </w:p>
    <w:p w14:paraId="143A5E96" w14:textId="77777777" w:rsidR="000E74D2" w:rsidRPr="00AA64AE" w:rsidRDefault="000E74D2" w:rsidP="0073677A">
      <w:pPr>
        <w:pStyle w:val="Lijstalinea"/>
        <w:spacing w:line="360" w:lineRule="auto"/>
        <w:rPr>
          <w:lang w:val="en-GB"/>
        </w:rPr>
      </w:pPr>
    </w:p>
    <w:p w14:paraId="7A196BF1" w14:textId="5B46C062" w:rsidR="00774F0D" w:rsidRPr="00AA64AE" w:rsidRDefault="000E74D2" w:rsidP="0073677A">
      <w:pPr>
        <w:pStyle w:val="Lijstalinea"/>
        <w:spacing w:line="360" w:lineRule="auto"/>
        <w:jc w:val="both"/>
        <w:rPr>
          <w:lang w:val="en-GB"/>
        </w:rPr>
      </w:pPr>
      <w:r w:rsidRPr="00AA64AE">
        <w:rPr>
          <w:lang w:val="en-GB"/>
        </w:rPr>
        <w:t xml:space="preserve">The 2001/23 Directive requires that a transfer of undertaking or a part thereof must result from a legal transfer or merger (art. 1.1.a). However, the facts of the case clearly indicate that no legal transfer or merger took place between X and Y. As stated in </w:t>
      </w:r>
      <w:r w:rsidRPr="00AA64AE">
        <w:rPr>
          <w:i/>
          <w:iCs/>
          <w:lang w:val="en-GB"/>
        </w:rPr>
        <w:t>Süzen</w:t>
      </w:r>
      <w:r w:rsidRPr="00AA64AE">
        <w:rPr>
          <w:lang w:val="en-GB"/>
        </w:rPr>
        <w:t xml:space="preserve"> case, the lack of any contractual link between the presumed transferor and transferee „</w:t>
      </w:r>
      <w:r w:rsidRPr="00AA64AE">
        <w:rPr>
          <w:b/>
          <w:i/>
          <w:lang w:val="en-GB"/>
        </w:rPr>
        <w:t>may point to the absence of a transfer</w:t>
      </w:r>
      <w:r w:rsidRPr="00AA64AE">
        <w:rPr>
          <w:i/>
          <w:lang w:val="en-GB"/>
        </w:rPr>
        <w:t xml:space="preserve"> </w:t>
      </w:r>
      <w:r w:rsidRPr="00AA64AE">
        <w:rPr>
          <w:b/>
          <w:i/>
          <w:lang w:val="en-GB"/>
        </w:rPr>
        <w:t>within the meaning of the directive</w:t>
      </w:r>
      <w:r w:rsidRPr="00AA64AE">
        <w:rPr>
          <w:lang w:val="en-GB"/>
        </w:rPr>
        <w:t>”</w:t>
      </w:r>
      <w:r w:rsidRPr="00AA64AE">
        <w:rPr>
          <w:rFonts w:eastAsia="Times New Roman"/>
          <w:vertAlign w:val="superscript"/>
          <w:lang w:val="en-GB"/>
        </w:rPr>
        <w:footnoteReference w:id="6"/>
      </w:r>
      <w:r w:rsidRPr="00AA64AE">
        <w:rPr>
          <w:lang w:val="en-GB"/>
        </w:rPr>
        <w:t>. The CJEU made it clear that a transfer may occur between two entities not bound by any contractual link</w:t>
      </w:r>
      <w:r w:rsidR="00FC2B1F" w:rsidRPr="00AA64AE">
        <w:rPr>
          <w:lang w:val="en-GB"/>
        </w:rPr>
        <w:t>, but</w:t>
      </w:r>
      <w:r w:rsidRPr="00AA64AE">
        <w:rPr>
          <w:lang w:val="en-GB"/>
        </w:rPr>
        <w:t xml:space="preserve"> only in </w:t>
      </w:r>
      <w:r w:rsidR="00235EB1" w:rsidRPr="00AA64AE">
        <w:rPr>
          <w:lang w:val="en-GB"/>
        </w:rPr>
        <w:t>very specific</w:t>
      </w:r>
      <w:r w:rsidR="00BA4666" w:rsidRPr="00AA64AE">
        <w:rPr>
          <w:lang w:val="en-GB"/>
        </w:rPr>
        <w:t xml:space="preserve"> cases, such as detailed below:</w:t>
      </w:r>
    </w:p>
    <w:p w14:paraId="210BADBA" w14:textId="3C5BCAAE" w:rsidR="00424E2E" w:rsidRPr="00AA64AE" w:rsidRDefault="00424E2E" w:rsidP="0073677A">
      <w:pPr>
        <w:pStyle w:val="Lijstalinea"/>
        <w:numPr>
          <w:ilvl w:val="0"/>
          <w:numId w:val="2"/>
        </w:numPr>
        <w:spacing w:line="360" w:lineRule="auto"/>
        <w:jc w:val="both"/>
        <w:rPr>
          <w:lang w:val="en-GB"/>
        </w:rPr>
      </w:pPr>
      <w:bookmarkStart w:id="31" w:name="MO"/>
      <w:r w:rsidRPr="00AA64AE">
        <w:rPr>
          <w:lang w:val="en-GB"/>
        </w:rPr>
        <w:t xml:space="preserve">A secondary school entrusts cleaning services to one company and then, to another </w:t>
      </w:r>
      <w:r w:rsidR="00235EB1" w:rsidRPr="00AA64AE">
        <w:rPr>
          <w:lang w:val="en-GB"/>
        </w:rPr>
        <w:t>entity</w:t>
      </w:r>
      <w:r w:rsidRPr="00AA64AE">
        <w:rPr>
          <w:lang w:val="en-GB"/>
        </w:rPr>
        <w:t xml:space="preserve"> (</w:t>
      </w:r>
      <w:r w:rsidRPr="00AA64AE">
        <w:rPr>
          <w:i/>
          <w:iCs/>
          <w:lang w:val="en-GB"/>
        </w:rPr>
        <w:t>Süzen</w:t>
      </w:r>
      <w:r w:rsidRPr="00AA64AE">
        <w:rPr>
          <w:iCs/>
          <w:lang w:val="en-GB"/>
        </w:rPr>
        <w:t>)</w:t>
      </w:r>
      <w:r w:rsidR="001034BA" w:rsidRPr="00AA64AE">
        <w:rPr>
          <w:iCs/>
          <w:lang w:val="en-GB"/>
        </w:rPr>
        <w:t>,</w:t>
      </w:r>
    </w:p>
    <w:p w14:paraId="65DF615C" w14:textId="23E54106" w:rsidR="00424E2E" w:rsidRPr="00AA64AE" w:rsidRDefault="00FC2B1F" w:rsidP="0073677A">
      <w:pPr>
        <w:pStyle w:val="Lijstalinea"/>
        <w:numPr>
          <w:ilvl w:val="0"/>
          <w:numId w:val="2"/>
        </w:numPr>
        <w:spacing w:line="360" w:lineRule="auto"/>
        <w:jc w:val="both"/>
        <w:rPr>
          <w:lang w:val="en-GB"/>
        </w:rPr>
      </w:pPr>
      <w:r w:rsidRPr="00AA64AE">
        <w:rPr>
          <w:lang w:val="en-GB"/>
        </w:rPr>
        <w:t>Volks</w:t>
      </w:r>
      <w:r w:rsidR="00424E2E" w:rsidRPr="00AA64AE">
        <w:rPr>
          <w:lang w:val="en-GB"/>
        </w:rPr>
        <w:t>wagen entrusts cleaning of its production plants to one company (which subcontracts its subsidiary) and then, to another company (</w:t>
      </w:r>
      <w:r w:rsidR="00424E2E" w:rsidRPr="00AA64AE">
        <w:rPr>
          <w:i/>
          <w:lang w:val="en-GB"/>
        </w:rPr>
        <w:t>Temco</w:t>
      </w:r>
      <w:r w:rsidR="00424E2E" w:rsidRPr="00AA64AE">
        <w:rPr>
          <w:lang w:val="en-GB"/>
        </w:rPr>
        <w:t>)</w:t>
      </w:r>
      <w:r w:rsidR="001034BA" w:rsidRPr="00AA64AE">
        <w:rPr>
          <w:rStyle w:val="Voetnootmarkering"/>
          <w:lang w:val="en-GB"/>
        </w:rPr>
        <w:footnoteReference w:id="7"/>
      </w:r>
      <w:r w:rsidR="001034BA" w:rsidRPr="00AA64AE">
        <w:rPr>
          <w:lang w:val="en-GB"/>
        </w:rPr>
        <w:t>,</w:t>
      </w:r>
    </w:p>
    <w:bookmarkEnd w:id="31"/>
    <w:p w14:paraId="3803C85B" w14:textId="77777777" w:rsidR="00235EB1" w:rsidRPr="00AA64AE" w:rsidRDefault="008B1D66" w:rsidP="00235EB1">
      <w:pPr>
        <w:pStyle w:val="Lijstalinea"/>
        <w:numPr>
          <w:ilvl w:val="0"/>
          <w:numId w:val="2"/>
        </w:numPr>
        <w:spacing w:line="360" w:lineRule="auto"/>
        <w:jc w:val="both"/>
        <w:rPr>
          <w:lang w:val="en-GB"/>
        </w:rPr>
      </w:pPr>
      <w:r w:rsidRPr="00AA64AE">
        <w:rPr>
          <w:lang w:val="en-GB"/>
        </w:rPr>
        <w:lastRenderedPageBreak/>
        <w:t>A/S Palads Teatret leases its restaurants and bars to one company and then, to another company, which immediately re-employs the former lessee’s employees (</w:t>
      </w:r>
      <w:r w:rsidRPr="00AA64AE">
        <w:rPr>
          <w:i/>
          <w:lang w:val="en-GB"/>
        </w:rPr>
        <w:t>Daddy’s Dance Hall</w:t>
      </w:r>
      <w:r w:rsidRPr="00AA64AE">
        <w:rPr>
          <w:lang w:val="en-GB"/>
        </w:rPr>
        <w:t>)</w:t>
      </w:r>
      <w:r w:rsidRPr="00AA64AE">
        <w:rPr>
          <w:rStyle w:val="Voetnootmarkering"/>
          <w:lang w:val="en-GB"/>
        </w:rPr>
        <w:footnoteReference w:id="8"/>
      </w:r>
      <w:r w:rsidRPr="00AA64AE">
        <w:rPr>
          <w:lang w:val="en-GB"/>
        </w:rPr>
        <w:t>,</w:t>
      </w:r>
      <w:r w:rsidR="00235EB1" w:rsidRPr="00AA64AE">
        <w:rPr>
          <w:lang w:val="en-GB"/>
        </w:rPr>
        <w:t xml:space="preserve"> </w:t>
      </w:r>
    </w:p>
    <w:p w14:paraId="70860BB0" w14:textId="0C70A5D7" w:rsidR="00A80C09" w:rsidRPr="00AA64AE" w:rsidRDefault="00235EB1" w:rsidP="00235EB1">
      <w:pPr>
        <w:pStyle w:val="Lijstalinea"/>
        <w:numPr>
          <w:ilvl w:val="0"/>
          <w:numId w:val="2"/>
        </w:numPr>
        <w:spacing w:line="360" w:lineRule="auto"/>
        <w:jc w:val="both"/>
        <w:rPr>
          <w:lang w:val="en-GB"/>
        </w:rPr>
      </w:pPr>
      <w:r w:rsidRPr="00AA64AE">
        <w:rPr>
          <w:lang w:val="en-GB"/>
        </w:rPr>
        <w:t>An individual leases her tavern to another individual, then rescinds the contract and takes over operation of the tavern herself (</w:t>
      </w:r>
      <w:r w:rsidRPr="00AA64AE">
        <w:rPr>
          <w:i/>
          <w:lang w:val="en-GB"/>
        </w:rPr>
        <w:t>Ny Mølle Kro</w:t>
      </w:r>
      <w:r w:rsidRPr="00AA64AE">
        <w:rPr>
          <w:lang w:val="en-GB"/>
        </w:rPr>
        <w:t>)</w:t>
      </w:r>
      <w:r w:rsidRPr="00AA64AE">
        <w:rPr>
          <w:rStyle w:val="Voetnootmarkering"/>
          <w:lang w:val="en-GB"/>
        </w:rPr>
        <w:footnoteReference w:id="9"/>
      </w:r>
      <w:r w:rsidRPr="00AA64AE">
        <w:rPr>
          <w:lang w:val="en-GB"/>
        </w:rPr>
        <w:t>,</w:t>
      </w:r>
    </w:p>
    <w:p w14:paraId="48D291D9" w14:textId="77A5FC1B" w:rsidR="00795CAF" w:rsidRPr="00AA64AE" w:rsidRDefault="00795CAF" w:rsidP="0073677A">
      <w:pPr>
        <w:pStyle w:val="Lijstalinea"/>
        <w:numPr>
          <w:ilvl w:val="0"/>
          <w:numId w:val="2"/>
        </w:numPr>
        <w:spacing w:line="360" w:lineRule="auto"/>
        <w:jc w:val="both"/>
        <w:rPr>
          <w:lang w:val="en-GB"/>
        </w:rPr>
      </w:pPr>
      <w:r w:rsidRPr="00AA64AE">
        <w:rPr>
          <w:lang w:val="en-GB"/>
        </w:rPr>
        <w:t>The owner of a bar-discothèque concludes a lease-purchase agreement with a commercial partnership and then, by a court decision, retakes his property</w:t>
      </w:r>
      <w:r w:rsidR="00695312" w:rsidRPr="00AA64AE">
        <w:rPr>
          <w:lang w:val="en-GB"/>
        </w:rPr>
        <w:t xml:space="preserve"> (</w:t>
      </w:r>
      <w:r w:rsidR="00695312" w:rsidRPr="00AA64AE">
        <w:rPr>
          <w:i/>
          <w:lang w:val="en-GB"/>
        </w:rPr>
        <w:t>Berg v Besselsen</w:t>
      </w:r>
      <w:r w:rsidR="00695312" w:rsidRPr="00AA64AE">
        <w:rPr>
          <w:lang w:val="en-GB"/>
        </w:rPr>
        <w:t>)</w:t>
      </w:r>
      <w:r w:rsidR="00695312" w:rsidRPr="00AA64AE">
        <w:rPr>
          <w:rStyle w:val="Voetnootmarkering"/>
          <w:lang w:val="en-GB"/>
        </w:rPr>
        <w:footnoteReference w:id="10"/>
      </w:r>
      <w:r w:rsidR="0073677A" w:rsidRPr="00AA64AE">
        <w:rPr>
          <w:lang w:val="en-GB"/>
        </w:rPr>
        <w:t>.</w:t>
      </w:r>
    </w:p>
    <w:p w14:paraId="37199D1E" w14:textId="43A28C83" w:rsidR="00EF6DE1" w:rsidRPr="00AA64AE" w:rsidRDefault="0073677A" w:rsidP="00EF6DE1">
      <w:pPr>
        <w:pStyle w:val="Lijstalinea"/>
        <w:spacing w:line="360" w:lineRule="auto"/>
        <w:jc w:val="both"/>
        <w:rPr>
          <w:lang w:val="en-GB"/>
        </w:rPr>
      </w:pPr>
      <w:r w:rsidRPr="00AA64AE">
        <w:rPr>
          <w:lang w:val="en-GB"/>
        </w:rPr>
        <w:t>I</w:t>
      </w:r>
      <w:r w:rsidR="00235EB1" w:rsidRPr="00AA64AE">
        <w:rPr>
          <w:lang w:val="en-GB"/>
        </w:rPr>
        <w:t xml:space="preserve">n all the above situations, the CJEU stated that there was a transfer of undertaking even though </w:t>
      </w:r>
      <w:r w:rsidR="004A18BE" w:rsidRPr="00AA64AE">
        <w:rPr>
          <w:lang w:val="en-GB"/>
        </w:rPr>
        <w:t>the transfero</w:t>
      </w:r>
      <w:r w:rsidR="003E58D5" w:rsidRPr="00AA64AE">
        <w:rPr>
          <w:lang w:val="en-GB"/>
        </w:rPr>
        <w:t xml:space="preserve">r and the transferee were not </w:t>
      </w:r>
      <w:r w:rsidR="00E95E0D" w:rsidRPr="00AA64AE">
        <w:rPr>
          <w:lang w:val="en-GB"/>
        </w:rPr>
        <w:t xml:space="preserve">bound by any contract – either because </w:t>
      </w:r>
      <w:r w:rsidR="00645212" w:rsidRPr="00AA64AE">
        <w:rPr>
          <w:lang w:val="en-GB"/>
        </w:rPr>
        <w:t>they wer</w:t>
      </w:r>
      <w:r w:rsidR="00E95E0D" w:rsidRPr="00AA64AE">
        <w:rPr>
          <w:lang w:val="en-GB"/>
        </w:rPr>
        <w:t>e subsequent contractors of the same entity</w:t>
      </w:r>
      <w:r w:rsidR="00EA5EBB">
        <w:rPr>
          <w:lang w:val="en-GB"/>
        </w:rPr>
        <w:t xml:space="preserve"> (so they formed a ‘triangular’ relation)</w:t>
      </w:r>
      <w:r w:rsidR="00E95E0D" w:rsidRPr="00AA64AE">
        <w:rPr>
          <w:lang w:val="en-GB"/>
        </w:rPr>
        <w:t>, or because the contract of lease had already been terminated or rescinded and the undertaking was</w:t>
      </w:r>
      <w:r w:rsidR="00645212" w:rsidRPr="00AA64AE">
        <w:rPr>
          <w:lang w:val="en-GB"/>
        </w:rPr>
        <w:t xml:space="preserve"> simply being</w:t>
      </w:r>
      <w:r w:rsidR="00E95E0D" w:rsidRPr="00AA64AE">
        <w:rPr>
          <w:lang w:val="en-GB"/>
        </w:rPr>
        <w:t xml:space="preserve"> restored to its original owner.</w:t>
      </w:r>
      <w:r w:rsidR="00F04871" w:rsidRPr="00AA64AE">
        <w:rPr>
          <w:lang w:val="en-GB"/>
        </w:rPr>
        <w:t xml:space="preserve"> However, it appears that the CJEU was eager to adopt a broad meaning of</w:t>
      </w:r>
      <w:r w:rsidR="00645212" w:rsidRPr="00AA64AE">
        <w:rPr>
          <w:lang w:val="en-GB"/>
        </w:rPr>
        <w:t xml:space="preserve"> a</w:t>
      </w:r>
      <w:r w:rsidR="00F04871" w:rsidRPr="00AA64AE">
        <w:rPr>
          <w:lang w:val="en-GB"/>
        </w:rPr>
        <w:t xml:space="preserve"> “legal transfer or merger” o</w:t>
      </w:r>
      <w:r w:rsidR="00645212" w:rsidRPr="00AA64AE">
        <w:rPr>
          <w:lang w:val="en-GB"/>
        </w:rPr>
        <w:t>nly when</w:t>
      </w:r>
      <w:r w:rsidR="00E00DB9" w:rsidRPr="00AA64AE">
        <w:rPr>
          <w:lang w:val="en-GB"/>
        </w:rPr>
        <w:t xml:space="preserve"> the activities</w:t>
      </w:r>
      <w:r w:rsidR="00645212" w:rsidRPr="00AA64AE">
        <w:rPr>
          <w:lang w:val="en-GB"/>
        </w:rPr>
        <w:t xml:space="preserve"> performed </w:t>
      </w:r>
      <w:r w:rsidR="00E00DB9" w:rsidRPr="00AA64AE">
        <w:rPr>
          <w:lang w:val="en-GB"/>
        </w:rPr>
        <w:t>before and after the transfer were</w:t>
      </w:r>
      <w:r w:rsidR="00645212" w:rsidRPr="00AA64AE">
        <w:rPr>
          <w:lang w:val="en-GB"/>
        </w:rPr>
        <w:t xml:space="preserve"> </w:t>
      </w:r>
      <w:r w:rsidR="00645212" w:rsidRPr="00AA64AE">
        <w:rPr>
          <w:b/>
          <w:lang w:val="en-GB"/>
        </w:rPr>
        <w:t>exactly the same</w:t>
      </w:r>
      <w:r w:rsidR="00645212" w:rsidRPr="00AA64AE">
        <w:rPr>
          <w:lang w:val="en-GB"/>
        </w:rPr>
        <w:t>. In the above cases, this identity resulted either from the constant needs of the orig</w:t>
      </w:r>
      <w:r w:rsidR="0005403C" w:rsidRPr="00AA64AE">
        <w:rPr>
          <w:lang w:val="en-GB"/>
        </w:rPr>
        <w:t>inal contractor (for example</w:t>
      </w:r>
      <w:r w:rsidR="00B250BA" w:rsidRPr="00AA64AE">
        <w:rPr>
          <w:lang w:val="en-GB"/>
        </w:rPr>
        <w:t xml:space="preserve"> the</w:t>
      </w:r>
      <w:r w:rsidR="007864E7" w:rsidRPr="00AA64AE">
        <w:rPr>
          <w:lang w:val="en-GB"/>
        </w:rPr>
        <w:t xml:space="preserve"> secondary school and</w:t>
      </w:r>
      <w:r w:rsidR="00645212" w:rsidRPr="00AA64AE">
        <w:rPr>
          <w:lang w:val="en-GB"/>
        </w:rPr>
        <w:t xml:space="preserve"> Volkswagen needed to have their premises cleaned</w:t>
      </w:r>
      <w:r w:rsidR="00EF6DE1" w:rsidRPr="00AA64AE">
        <w:rPr>
          <w:lang w:val="en-GB"/>
        </w:rPr>
        <w:t xml:space="preserve"> on a daily basis</w:t>
      </w:r>
      <w:r w:rsidR="00645212" w:rsidRPr="00AA64AE">
        <w:rPr>
          <w:lang w:val="en-GB"/>
        </w:rPr>
        <w:t>, so they obviously concluded the same contracts for the same services with every subsequent cleaning enterprise) or from the nature of activity itself (for example the owners would terminate lease agreements in order to be able to run the very same tavern or bar-discothèque on their own). In yet another case</w:t>
      </w:r>
      <w:r w:rsidR="00E83BF9" w:rsidRPr="00AA64AE">
        <w:rPr>
          <w:lang w:val="en-GB"/>
        </w:rPr>
        <w:t>, when analysing the expression of “legal transfer”,</w:t>
      </w:r>
      <w:r w:rsidR="007864E7" w:rsidRPr="00AA64AE">
        <w:rPr>
          <w:lang w:val="en-GB"/>
        </w:rPr>
        <w:t xml:space="preserve"> the CJEU</w:t>
      </w:r>
      <w:r w:rsidR="00E83BF9" w:rsidRPr="00AA64AE">
        <w:rPr>
          <w:lang w:val="en-GB"/>
        </w:rPr>
        <w:t xml:space="preserve"> reached a conclusion that</w:t>
      </w:r>
      <w:r w:rsidR="00EF6DE1" w:rsidRPr="00AA64AE">
        <w:rPr>
          <w:lang w:val="en-GB"/>
        </w:rPr>
        <w:t xml:space="preserve"> such</w:t>
      </w:r>
      <w:r w:rsidR="00E00DB9" w:rsidRPr="00AA64AE">
        <w:rPr>
          <w:lang w:val="en-GB"/>
        </w:rPr>
        <w:t xml:space="preserve"> transfer may occur</w:t>
      </w:r>
      <w:r w:rsidR="00E83BF9" w:rsidRPr="00AA64AE">
        <w:rPr>
          <w:lang w:val="en-GB"/>
        </w:rPr>
        <w:t xml:space="preserve"> in case </w:t>
      </w:r>
      <w:r w:rsidR="00E00DB9" w:rsidRPr="00AA64AE">
        <w:rPr>
          <w:lang w:val="en-GB"/>
        </w:rPr>
        <w:t>where a municipality decides to discontinue subsidies granted to a foundation engaged in helping drug addicts (causing this foundation to cease its activities) and transfers those subsidies to another foundation “</w:t>
      </w:r>
      <w:r w:rsidR="00E00DB9" w:rsidRPr="00AA64AE">
        <w:rPr>
          <w:b/>
          <w:i/>
          <w:lang w:val="en-GB"/>
        </w:rPr>
        <w:t>carrying on the same activities</w:t>
      </w:r>
      <w:r w:rsidR="00E00DB9" w:rsidRPr="00AA64AE">
        <w:rPr>
          <w:lang w:val="en-GB"/>
        </w:rPr>
        <w:t>”</w:t>
      </w:r>
      <w:r w:rsidR="00152B9A" w:rsidRPr="00AA64AE">
        <w:rPr>
          <w:rStyle w:val="Voetnootmarkering"/>
          <w:lang w:val="en-GB"/>
        </w:rPr>
        <w:footnoteReference w:id="11"/>
      </w:r>
      <w:r w:rsidR="00E00DB9" w:rsidRPr="00AA64AE">
        <w:rPr>
          <w:lang w:val="en-GB"/>
        </w:rPr>
        <w:t>.</w:t>
      </w:r>
      <w:r w:rsidR="00EF6DE1" w:rsidRPr="00AA64AE">
        <w:rPr>
          <w:lang w:val="en-GB"/>
        </w:rPr>
        <w:t xml:space="preserve"> Again, the identity of conducted activities was the remedy for the lack of contractual link between the presumed transferor and transferee.</w:t>
      </w:r>
    </w:p>
    <w:p w14:paraId="2FD3560C" w14:textId="3F769051" w:rsidR="0093341A" w:rsidRPr="00AA64AE" w:rsidRDefault="000E74D2" w:rsidP="00FC2B1F">
      <w:pPr>
        <w:pStyle w:val="Lijstalinea"/>
        <w:spacing w:line="360" w:lineRule="auto"/>
        <w:jc w:val="both"/>
        <w:rPr>
          <w:lang w:val="en-GB"/>
        </w:rPr>
      </w:pPr>
      <w:r w:rsidRPr="00AA64AE">
        <w:rPr>
          <w:lang w:val="en-GB"/>
        </w:rPr>
        <w:t xml:space="preserve">On the other hand, the lessor who leased the real state to X and then, to Defendant </w:t>
      </w:r>
      <w:r w:rsidR="000317C2" w:rsidRPr="00AA64AE">
        <w:rPr>
          <w:lang w:val="en-GB"/>
        </w:rPr>
        <w:t>Y, had absolutely no interest</w:t>
      </w:r>
      <w:r w:rsidRPr="00AA64AE">
        <w:rPr>
          <w:lang w:val="en-GB"/>
        </w:rPr>
        <w:t xml:space="preserve"> whatsoever in the activity which was to be conducted in this </w:t>
      </w:r>
      <w:r w:rsidRPr="00AA64AE">
        <w:rPr>
          <w:lang w:val="en-GB"/>
        </w:rPr>
        <w:lastRenderedPageBreak/>
        <w:t xml:space="preserve">place. Both entities (X and Y) provided different services on the premises - X operated </w:t>
      </w:r>
      <w:r w:rsidR="00FC2B1F" w:rsidRPr="00AA64AE">
        <w:rPr>
          <w:lang w:val="en-GB"/>
        </w:rPr>
        <w:t>a veterinary office and a</w:t>
      </w:r>
      <w:r w:rsidRPr="00AA64AE">
        <w:rPr>
          <w:lang w:val="en-GB"/>
        </w:rPr>
        <w:t xml:space="preserve"> dining room offering rather simple snacks, while Y will operate an exclusive Italian restaurant and bar. In this case, the mere fact that the lessor and real estate remain the same is certainly not sufficient to conclude that there was a legal transfer between X and Y, even if a wide definition of thi</w:t>
      </w:r>
      <w:r w:rsidR="00152B9A" w:rsidRPr="00AA64AE">
        <w:rPr>
          <w:lang w:val="en-GB"/>
        </w:rPr>
        <w:t>s notion is to be adopted, as the facts of the case pending</w:t>
      </w:r>
      <w:r w:rsidR="001C0A47" w:rsidRPr="00AA64AE">
        <w:rPr>
          <w:lang w:val="en-GB"/>
        </w:rPr>
        <w:t xml:space="preserve"> now before the C</w:t>
      </w:r>
      <w:r w:rsidR="00152B9A" w:rsidRPr="00AA64AE">
        <w:rPr>
          <w:lang w:val="en-GB"/>
        </w:rPr>
        <w:t>ourt do</w:t>
      </w:r>
      <w:r w:rsidRPr="00AA64AE">
        <w:rPr>
          <w:lang w:val="en-GB"/>
        </w:rPr>
        <w:t xml:space="preserve"> not fit into circumstances</w:t>
      </w:r>
      <w:r w:rsidR="00EF6DE1" w:rsidRPr="00AA64AE">
        <w:rPr>
          <w:lang w:val="en-GB"/>
        </w:rPr>
        <w:t xml:space="preserve"> of the above</w:t>
      </w:r>
      <w:r w:rsidR="007864E7" w:rsidRPr="00AA64AE">
        <w:rPr>
          <w:lang w:val="en-GB"/>
        </w:rPr>
        <w:t xml:space="preserve"> mentioned</w:t>
      </w:r>
      <w:r w:rsidR="001C0A47" w:rsidRPr="00AA64AE">
        <w:rPr>
          <w:lang w:val="en-GB"/>
        </w:rPr>
        <w:t xml:space="preserve"> CJEU</w:t>
      </w:r>
      <w:r w:rsidR="00EF6DE1" w:rsidRPr="00AA64AE">
        <w:rPr>
          <w:lang w:val="en-GB"/>
        </w:rPr>
        <w:t xml:space="preserve"> cases</w:t>
      </w:r>
      <w:r w:rsidR="001C0A47" w:rsidRPr="00AA64AE">
        <w:rPr>
          <w:lang w:val="en-GB"/>
        </w:rPr>
        <w:t>,</w:t>
      </w:r>
      <w:r w:rsidR="00EF6DE1" w:rsidRPr="00AA64AE">
        <w:rPr>
          <w:lang w:val="en-GB"/>
        </w:rPr>
        <w:t xml:space="preserve"> in which the strict identity of conducted activities </w:t>
      </w:r>
      <w:r w:rsidR="001C0A47" w:rsidRPr="00AA64AE">
        <w:rPr>
          <w:lang w:val="en-GB"/>
        </w:rPr>
        <w:t>is</w:t>
      </w:r>
      <w:r w:rsidR="00152B9A" w:rsidRPr="00AA64AE">
        <w:rPr>
          <w:lang w:val="en-GB"/>
        </w:rPr>
        <w:t xml:space="preserve"> the</w:t>
      </w:r>
      <w:r w:rsidR="00EF6DE1" w:rsidRPr="00AA64AE">
        <w:rPr>
          <w:lang w:val="en-GB"/>
        </w:rPr>
        <w:t xml:space="preserve"> </w:t>
      </w:r>
      <w:r w:rsidR="00FC2B1F" w:rsidRPr="00AA64AE">
        <w:rPr>
          <w:lang w:val="en-GB"/>
        </w:rPr>
        <w:t xml:space="preserve">only factor explaining some kind of ‘link’ between the presumed transferor and </w:t>
      </w:r>
      <w:r w:rsidR="00112D44">
        <w:rPr>
          <w:lang w:val="en-GB"/>
        </w:rPr>
        <w:t>transferee, despite the lack of a contractual link between them.</w:t>
      </w:r>
    </w:p>
    <w:p w14:paraId="5998D031" w14:textId="77777777" w:rsidR="0093341A" w:rsidRPr="00AA64AE" w:rsidRDefault="0093341A" w:rsidP="0073677A">
      <w:pPr>
        <w:pStyle w:val="Lijstalinea"/>
        <w:spacing w:line="360" w:lineRule="auto"/>
        <w:rPr>
          <w:lang w:val="en-GB"/>
        </w:rPr>
      </w:pPr>
    </w:p>
    <w:p w14:paraId="416C7730" w14:textId="0CB2786C" w:rsidR="000E74D2" w:rsidRPr="00AA64AE" w:rsidRDefault="0076289C" w:rsidP="0076289C">
      <w:pPr>
        <w:pStyle w:val="Kop4"/>
      </w:pPr>
      <w:r>
        <w:t xml:space="preserve">THE </w:t>
      </w:r>
      <w:r w:rsidR="006A3F2A" w:rsidRPr="00AA64AE">
        <w:t>IDENTITY</w:t>
      </w:r>
      <w:r w:rsidR="00AC3D60">
        <w:t xml:space="preserve"> of the undertaking</w:t>
      </w:r>
      <w:r w:rsidR="006A3F2A" w:rsidRPr="00AA64AE">
        <w:t xml:space="preserve"> WAS </w:t>
      </w:r>
      <w:r w:rsidR="004426B2">
        <w:t xml:space="preserve">NOT </w:t>
      </w:r>
      <w:r w:rsidR="006A3F2A" w:rsidRPr="00AA64AE">
        <w:t>RETAINED</w:t>
      </w:r>
    </w:p>
    <w:p w14:paraId="79254872" w14:textId="77777777" w:rsidR="00291086" w:rsidRPr="00AA64AE" w:rsidRDefault="00291086" w:rsidP="0073677A">
      <w:pPr>
        <w:pStyle w:val="Lijstalinea"/>
        <w:spacing w:line="360" w:lineRule="auto"/>
        <w:rPr>
          <w:lang w:val="en-GB"/>
        </w:rPr>
      </w:pPr>
    </w:p>
    <w:p w14:paraId="766C2F69" w14:textId="6CD9D477" w:rsidR="00333FFD" w:rsidRDefault="00291086" w:rsidP="009F2BE8">
      <w:pPr>
        <w:pStyle w:val="Lijstalinea"/>
        <w:spacing w:line="360" w:lineRule="auto"/>
        <w:jc w:val="both"/>
        <w:rPr>
          <w:lang w:val="en-GB"/>
        </w:rPr>
      </w:pPr>
      <w:r w:rsidRPr="00AA64AE">
        <w:rPr>
          <w:lang w:val="en-GB"/>
        </w:rPr>
        <w:t>Another condition to be met according to the 2001/23 Directive</w:t>
      </w:r>
      <w:r w:rsidR="0093341A" w:rsidRPr="00AA64AE">
        <w:rPr>
          <w:lang w:val="en-GB"/>
        </w:rPr>
        <w:t xml:space="preserve"> (art. 1.1.b)</w:t>
      </w:r>
      <w:r w:rsidRPr="00AA64AE">
        <w:rPr>
          <w:lang w:val="en-GB"/>
        </w:rPr>
        <w:t xml:space="preserve"> in order for a transfer of</w:t>
      </w:r>
      <w:r w:rsidR="00470C6C">
        <w:rPr>
          <w:lang w:val="en-GB"/>
        </w:rPr>
        <w:t xml:space="preserve"> an</w:t>
      </w:r>
      <w:r w:rsidRPr="00AA64AE">
        <w:rPr>
          <w:lang w:val="en-GB"/>
        </w:rPr>
        <w:t xml:space="preserve"> undertaking</w:t>
      </w:r>
      <w:r w:rsidR="00344ED9">
        <w:rPr>
          <w:lang w:val="en-GB"/>
        </w:rPr>
        <w:t xml:space="preserve"> (or a parth thereof)</w:t>
      </w:r>
      <w:r w:rsidRPr="00AA64AE">
        <w:rPr>
          <w:lang w:val="en-GB"/>
        </w:rPr>
        <w:t xml:space="preserve"> to take place is retention of its identity. The problem was thoroughly explained and investigated in the case-law provided by the CJEU - mainly the </w:t>
      </w:r>
      <w:r w:rsidRPr="00AA64AE">
        <w:rPr>
          <w:i/>
          <w:iCs/>
          <w:lang w:val="en-GB"/>
        </w:rPr>
        <w:t>Spijkers</w:t>
      </w:r>
      <w:r w:rsidRPr="00AA64AE">
        <w:rPr>
          <w:lang w:val="en-GB"/>
        </w:rPr>
        <w:t xml:space="preserve"> judgment in which a number of transfer criteria was provided</w:t>
      </w:r>
      <w:r w:rsidR="00333FFD">
        <w:rPr>
          <w:lang w:val="en-GB"/>
        </w:rPr>
        <w:t>:</w:t>
      </w:r>
    </w:p>
    <w:p w14:paraId="6BEB9D11" w14:textId="77777777" w:rsidR="00333FFD" w:rsidRDefault="00333FFD" w:rsidP="009F2BE8">
      <w:pPr>
        <w:pStyle w:val="Lijstalinea"/>
        <w:spacing w:line="360" w:lineRule="auto"/>
        <w:jc w:val="both"/>
        <w:rPr>
          <w:lang w:val="en-GB"/>
        </w:rPr>
      </w:pPr>
      <w:r w:rsidRPr="00333FFD">
        <w:rPr>
          <w:b/>
          <w:lang w:val="en-GB"/>
        </w:rPr>
        <w:t>(1)</w:t>
      </w:r>
      <w:r>
        <w:rPr>
          <w:lang w:val="en-GB"/>
        </w:rPr>
        <w:t xml:space="preserve"> “</w:t>
      </w:r>
      <w:r w:rsidR="009F2BE8" w:rsidRPr="009F2BE8">
        <w:rPr>
          <w:i/>
          <w:lang w:val="en-GB"/>
        </w:rPr>
        <w:t>the type of undertaking or business</w:t>
      </w:r>
      <w:r w:rsidRPr="00333FFD">
        <w:rPr>
          <w:lang w:val="en-GB"/>
        </w:rPr>
        <w:t>”</w:t>
      </w:r>
      <w:r>
        <w:rPr>
          <w:lang w:val="en-GB"/>
        </w:rPr>
        <w:t>,</w:t>
      </w:r>
    </w:p>
    <w:p w14:paraId="6A19AF90" w14:textId="77777777" w:rsidR="00333FFD" w:rsidRDefault="00333FFD" w:rsidP="009F2BE8">
      <w:pPr>
        <w:pStyle w:val="Lijstalinea"/>
        <w:spacing w:line="360" w:lineRule="auto"/>
        <w:jc w:val="both"/>
        <w:rPr>
          <w:lang w:val="en-GB"/>
        </w:rPr>
      </w:pPr>
      <w:r w:rsidRPr="00333FFD">
        <w:rPr>
          <w:b/>
          <w:lang w:val="en-GB"/>
        </w:rPr>
        <w:t>(2)</w:t>
      </w:r>
      <w:r>
        <w:rPr>
          <w:lang w:val="en-GB"/>
        </w:rPr>
        <w:t xml:space="preserve"> “</w:t>
      </w:r>
      <w:r w:rsidR="009F2BE8" w:rsidRPr="00333FFD">
        <w:rPr>
          <w:i/>
          <w:lang w:val="en-GB"/>
        </w:rPr>
        <w:t>whether or not the business’s tangible assets, such as building and movable property, are transferred</w:t>
      </w:r>
      <w:r>
        <w:rPr>
          <w:lang w:val="en-GB"/>
        </w:rPr>
        <w:t>”,</w:t>
      </w:r>
    </w:p>
    <w:p w14:paraId="57B581EA" w14:textId="77777777" w:rsidR="00333FFD" w:rsidRDefault="00333FFD" w:rsidP="009F2BE8">
      <w:pPr>
        <w:pStyle w:val="Lijstalinea"/>
        <w:spacing w:line="360" w:lineRule="auto"/>
        <w:jc w:val="both"/>
        <w:rPr>
          <w:lang w:val="en-GB"/>
        </w:rPr>
      </w:pPr>
      <w:r w:rsidRPr="00333FFD">
        <w:rPr>
          <w:b/>
          <w:lang w:val="en-GB"/>
        </w:rPr>
        <w:t>(3)</w:t>
      </w:r>
      <w:r>
        <w:rPr>
          <w:lang w:val="en-GB"/>
        </w:rPr>
        <w:t xml:space="preserve"> “</w:t>
      </w:r>
      <w:r w:rsidR="009F2BE8" w:rsidRPr="00521EFC">
        <w:rPr>
          <w:i/>
          <w:lang w:val="en-GB"/>
        </w:rPr>
        <w:t>t</w:t>
      </w:r>
      <w:r w:rsidR="009F2BE8" w:rsidRPr="00333FFD">
        <w:rPr>
          <w:i/>
          <w:lang w:val="en-GB"/>
        </w:rPr>
        <w:t>he value of its intangible assets at the time of the transfer</w:t>
      </w:r>
      <w:r>
        <w:rPr>
          <w:lang w:val="en-GB"/>
        </w:rPr>
        <w:t>”,</w:t>
      </w:r>
    </w:p>
    <w:p w14:paraId="46E3342F" w14:textId="61251663" w:rsidR="00333FFD" w:rsidRDefault="00333FFD" w:rsidP="009F2BE8">
      <w:pPr>
        <w:pStyle w:val="Lijstalinea"/>
        <w:spacing w:line="360" w:lineRule="auto"/>
        <w:jc w:val="both"/>
        <w:rPr>
          <w:lang w:val="en-GB"/>
        </w:rPr>
      </w:pPr>
      <w:r>
        <w:rPr>
          <w:b/>
          <w:lang w:val="en-GB"/>
        </w:rPr>
        <w:t xml:space="preserve">(4) </w:t>
      </w:r>
      <w:r>
        <w:rPr>
          <w:lang w:val="en-GB"/>
        </w:rPr>
        <w:t>“</w:t>
      </w:r>
      <w:r w:rsidR="009F2BE8" w:rsidRPr="00333FFD">
        <w:rPr>
          <w:i/>
          <w:lang w:val="en-GB"/>
        </w:rPr>
        <w:t>whether or not the majority of its employees are taken over by the new employer</w:t>
      </w:r>
      <w:r>
        <w:rPr>
          <w:lang w:val="en-GB"/>
        </w:rPr>
        <w:t>”,</w:t>
      </w:r>
    </w:p>
    <w:p w14:paraId="5EB2ADEA" w14:textId="1C87A31D" w:rsidR="00333FFD" w:rsidRDefault="00333FFD" w:rsidP="009F2BE8">
      <w:pPr>
        <w:pStyle w:val="Lijstalinea"/>
        <w:spacing w:line="360" w:lineRule="auto"/>
        <w:jc w:val="both"/>
        <w:rPr>
          <w:lang w:val="en-GB"/>
        </w:rPr>
      </w:pPr>
      <w:r>
        <w:rPr>
          <w:b/>
          <w:lang w:val="en-GB"/>
        </w:rPr>
        <w:t>(5)</w:t>
      </w:r>
      <w:r>
        <w:rPr>
          <w:lang w:val="en-GB"/>
        </w:rPr>
        <w:t xml:space="preserve"> “</w:t>
      </w:r>
      <w:r w:rsidR="009F2BE8" w:rsidRPr="00333FFD">
        <w:rPr>
          <w:i/>
          <w:lang w:val="en-GB"/>
        </w:rPr>
        <w:t>whether or not i</w:t>
      </w:r>
      <w:r w:rsidRPr="00333FFD">
        <w:rPr>
          <w:i/>
          <w:lang w:val="en-GB"/>
        </w:rPr>
        <w:t>ts customers are transferred</w:t>
      </w:r>
      <w:r>
        <w:rPr>
          <w:lang w:val="en-GB"/>
        </w:rPr>
        <w:t>”,</w:t>
      </w:r>
    </w:p>
    <w:p w14:paraId="63561DF5" w14:textId="77777777" w:rsidR="00333FFD" w:rsidRDefault="00333FFD" w:rsidP="009F2BE8">
      <w:pPr>
        <w:pStyle w:val="Lijstalinea"/>
        <w:spacing w:line="360" w:lineRule="auto"/>
        <w:jc w:val="both"/>
        <w:rPr>
          <w:lang w:val="en-GB"/>
        </w:rPr>
      </w:pPr>
      <w:r w:rsidRPr="00333FFD">
        <w:rPr>
          <w:b/>
          <w:lang w:val="en-GB"/>
        </w:rPr>
        <w:t>(6)</w:t>
      </w:r>
      <w:r w:rsidR="009F2BE8" w:rsidRPr="00333FFD">
        <w:rPr>
          <w:lang w:val="en-GB"/>
        </w:rPr>
        <w:t xml:space="preserve"> </w:t>
      </w:r>
      <w:r>
        <w:rPr>
          <w:lang w:val="en-GB"/>
        </w:rPr>
        <w:t>“</w:t>
      </w:r>
      <w:r w:rsidR="009F2BE8" w:rsidRPr="00333FFD">
        <w:rPr>
          <w:i/>
          <w:lang w:val="en-GB"/>
        </w:rPr>
        <w:t>the degree of similarity between the activities carried on before and after the transfer</w:t>
      </w:r>
      <w:r>
        <w:rPr>
          <w:lang w:val="en-GB"/>
        </w:rPr>
        <w:t>”</w:t>
      </w:r>
      <w:r w:rsidR="009F2BE8" w:rsidRPr="00333FFD">
        <w:rPr>
          <w:lang w:val="en-GB"/>
        </w:rPr>
        <w:t xml:space="preserve"> and </w:t>
      </w:r>
    </w:p>
    <w:p w14:paraId="5CD350CD" w14:textId="6BA19A4A" w:rsidR="00333FFD" w:rsidRDefault="00333FFD" w:rsidP="009F2BE8">
      <w:pPr>
        <w:pStyle w:val="Lijstalinea"/>
        <w:spacing w:line="360" w:lineRule="auto"/>
        <w:jc w:val="both"/>
        <w:rPr>
          <w:lang w:val="en-GB"/>
        </w:rPr>
      </w:pPr>
      <w:r w:rsidRPr="00333FFD">
        <w:rPr>
          <w:b/>
          <w:lang w:val="en-GB"/>
        </w:rPr>
        <w:t>(7)</w:t>
      </w:r>
      <w:r>
        <w:rPr>
          <w:lang w:val="en-GB"/>
        </w:rPr>
        <w:t xml:space="preserve"> “</w:t>
      </w:r>
      <w:r w:rsidR="009F2BE8" w:rsidRPr="00333FFD">
        <w:rPr>
          <w:i/>
          <w:lang w:val="en-GB"/>
        </w:rPr>
        <w:t>the period, if any, for which those activities were suspended</w:t>
      </w:r>
      <w:r w:rsidR="009F2BE8" w:rsidRPr="00333FFD">
        <w:rPr>
          <w:lang w:val="en-GB"/>
        </w:rPr>
        <w:t>”</w:t>
      </w:r>
      <w:r w:rsidR="00291086" w:rsidRPr="00AA64AE">
        <w:rPr>
          <w:rFonts w:eastAsia="Times New Roman"/>
          <w:vertAlign w:val="superscript"/>
          <w:lang w:val="en-GB"/>
        </w:rPr>
        <w:footnoteReference w:id="12"/>
      </w:r>
      <w:r w:rsidR="00291086" w:rsidRPr="00AA64AE">
        <w:rPr>
          <w:lang w:val="en-GB"/>
        </w:rPr>
        <w:t xml:space="preserve">. </w:t>
      </w:r>
    </w:p>
    <w:p w14:paraId="236B0253" w14:textId="31CFAC94" w:rsidR="009F2BE8" w:rsidRPr="009F2BE8" w:rsidRDefault="00291086" w:rsidP="009F2BE8">
      <w:pPr>
        <w:pStyle w:val="Lijstalinea"/>
        <w:spacing w:line="360" w:lineRule="auto"/>
        <w:jc w:val="both"/>
        <w:rPr>
          <w:lang w:val="en-GB"/>
        </w:rPr>
      </w:pPr>
      <w:r w:rsidRPr="00AA64AE">
        <w:rPr>
          <w:lang w:val="en-GB"/>
        </w:rPr>
        <w:t xml:space="preserve">It appears that almost none of </w:t>
      </w:r>
      <w:r w:rsidR="00D507DD" w:rsidRPr="00AA64AE">
        <w:rPr>
          <w:lang w:val="en-GB"/>
        </w:rPr>
        <w:t>them are fulfilled in the case, as explained below.</w:t>
      </w:r>
    </w:p>
    <w:p w14:paraId="3EDCA26F" w14:textId="77777777" w:rsidR="00D507DD" w:rsidRPr="00AA64AE" w:rsidRDefault="00D507DD" w:rsidP="00DF3229">
      <w:pPr>
        <w:pStyle w:val="Lijstalinea"/>
        <w:spacing w:line="360" w:lineRule="auto"/>
        <w:jc w:val="both"/>
        <w:rPr>
          <w:lang w:val="en-GB"/>
        </w:rPr>
      </w:pPr>
    </w:p>
    <w:p w14:paraId="3A5CEAB3" w14:textId="4E607329" w:rsidR="00335C89" w:rsidRPr="00AA64AE" w:rsidRDefault="00335C89" w:rsidP="0034271F">
      <w:pPr>
        <w:pStyle w:val="Kop5"/>
      </w:pPr>
      <w:r w:rsidRPr="00AA64AE">
        <w:t>The types of undertakings</w:t>
      </w:r>
      <w:r w:rsidR="00D507DD" w:rsidRPr="00AA64AE">
        <w:t xml:space="preserve"> and activities carried out</w:t>
      </w:r>
      <w:r w:rsidRPr="00AA64AE">
        <w:t xml:space="preserve"> are not similar</w:t>
      </w:r>
    </w:p>
    <w:p w14:paraId="64943AF8" w14:textId="77777777" w:rsidR="00D507DD" w:rsidRPr="00AA64AE" w:rsidRDefault="00D507DD" w:rsidP="00D507DD">
      <w:pPr>
        <w:pStyle w:val="Lijstalinea"/>
        <w:spacing w:line="360" w:lineRule="auto"/>
        <w:jc w:val="both"/>
        <w:rPr>
          <w:lang w:val="en-GB"/>
        </w:rPr>
      </w:pPr>
    </w:p>
    <w:p w14:paraId="5FE024D5" w14:textId="436DFAB9" w:rsidR="00D507DD" w:rsidRPr="00AA64AE" w:rsidRDefault="00D507DD" w:rsidP="00713DCC">
      <w:pPr>
        <w:pStyle w:val="Lijstalinea"/>
        <w:spacing w:line="360" w:lineRule="auto"/>
        <w:jc w:val="both"/>
        <w:rPr>
          <w:lang w:val="en-GB"/>
        </w:rPr>
      </w:pPr>
      <w:r w:rsidRPr="00AA64AE">
        <w:rPr>
          <w:lang w:val="en-GB"/>
        </w:rPr>
        <w:lastRenderedPageBreak/>
        <w:t>T</w:t>
      </w:r>
      <w:r w:rsidR="00335C89" w:rsidRPr="00AA64AE">
        <w:rPr>
          <w:lang w:val="en-GB"/>
        </w:rPr>
        <w:t>he types of undertakings are not identical. Defendant Y will run an exclusive Italian restaurant and bar, while X operated a simple dining room.</w:t>
      </w:r>
      <w:r w:rsidRPr="00AA64AE">
        <w:rPr>
          <w:lang w:val="en-GB"/>
        </w:rPr>
        <w:t xml:space="preserve"> The only thing that those two undertakings have in common is that they both serve products which may be eaten or drunk. However, considering that there are plenty of places where one can consume meals and beverages (canteen, </w:t>
      </w:r>
      <w:r w:rsidR="00CC41B6">
        <w:rPr>
          <w:lang w:val="en-GB"/>
        </w:rPr>
        <w:t>confectionery shop, bakery, café</w:t>
      </w:r>
      <w:r w:rsidRPr="00AA64AE">
        <w:rPr>
          <w:lang w:val="en-GB"/>
        </w:rPr>
        <w:t>, bistro, tavern, pub, etc.), this degree of similarity seems to be not enough.</w:t>
      </w:r>
      <w:r w:rsidR="00F84B9A">
        <w:rPr>
          <w:lang w:val="en-GB"/>
        </w:rPr>
        <w:t xml:space="preserve"> After all, those establishments are visited on different occasions – </w:t>
      </w:r>
      <w:r w:rsidR="00563206">
        <w:rPr>
          <w:lang w:val="en-GB"/>
        </w:rPr>
        <w:t xml:space="preserve">in general, </w:t>
      </w:r>
      <w:r w:rsidR="00F84B9A">
        <w:rPr>
          <w:lang w:val="en-GB"/>
        </w:rPr>
        <w:t xml:space="preserve">we </w:t>
      </w:r>
      <w:r w:rsidR="00CC41B6">
        <w:rPr>
          <w:lang w:val="en-GB"/>
        </w:rPr>
        <w:t>choose</w:t>
      </w:r>
      <w:r w:rsidR="00F84B9A">
        <w:rPr>
          <w:lang w:val="en-GB"/>
        </w:rPr>
        <w:t xml:space="preserve"> canteen</w:t>
      </w:r>
      <w:r w:rsidR="00CF1038">
        <w:rPr>
          <w:lang w:val="en-GB"/>
        </w:rPr>
        <w:t>s</w:t>
      </w:r>
      <w:r w:rsidR="00F84B9A">
        <w:rPr>
          <w:lang w:val="en-GB"/>
        </w:rPr>
        <w:t xml:space="preserve"> for a quick lunch, </w:t>
      </w:r>
      <w:r w:rsidR="00CC41B6">
        <w:rPr>
          <w:lang w:val="en-GB"/>
        </w:rPr>
        <w:t>in pubs we organise informal meetings to eat and drink on weekends, we have a ‘coffee and cigarette’ break at a café and we choose exclusive restaurants</w:t>
      </w:r>
      <w:r w:rsidR="00CC41B6" w:rsidRPr="00CC41B6">
        <w:rPr>
          <w:lang w:val="en-GB"/>
        </w:rPr>
        <w:t xml:space="preserve"> </w:t>
      </w:r>
      <w:r w:rsidR="00CC41B6">
        <w:rPr>
          <w:lang w:val="en-GB"/>
        </w:rPr>
        <w:t xml:space="preserve">for an </w:t>
      </w:r>
      <w:r w:rsidR="004C0C3C">
        <w:rPr>
          <w:lang w:val="en-GB"/>
        </w:rPr>
        <w:t>official</w:t>
      </w:r>
      <w:r w:rsidR="00CC41B6">
        <w:rPr>
          <w:lang w:val="en-GB"/>
        </w:rPr>
        <w:t xml:space="preserve"> dinner. </w:t>
      </w:r>
      <w:r w:rsidR="004336C4">
        <w:rPr>
          <w:lang w:val="en-GB"/>
        </w:rPr>
        <w:t xml:space="preserve">Therefore, those undertakings have much less in common than it could seem at first glance. </w:t>
      </w:r>
      <w:r w:rsidRPr="00AA64AE">
        <w:rPr>
          <w:lang w:val="en-GB"/>
        </w:rPr>
        <w:t xml:space="preserve">This is in conformity with the CJEU’s position adopted in </w:t>
      </w:r>
      <w:r w:rsidRPr="00AA64AE">
        <w:rPr>
          <w:i/>
          <w:lang w:val="en-GB"/>
        </w:rPr>
        <w:t>Oy Liikenne Ab</w:t>
      </w:r>
      <w:r w:rsidRPr="00AA64AE">
        <w:rPr>
          <w:lang w:val="en-GB"/>
        </w:rPr>
        <w:t xml:space="preserve"> where the Court stated that “</w:t>
      </w:r>
      <w:r w:rsidRPr="00AA64AE">
        <w:rPr>
          <w:i/>
          <w:lang w:val="en-GB"/>
        </w:rPr>
        <w:t>the mere fact that the service provided by the old and the new contractors is similar does not justify the conclusion that there has been a transfer of an economic entity between the two undertakings</w:t>
      </w:r>
      <w:r w:rsidRPr="00AA64AE">
        <w:rPr>
          <w:lang w:val="en-GB"/>
        </w:rPr>
        <w:t>”. The CJEU underlined that an entity cannot be simply reduced to the activity it carries out, because its identity emerges also from other factors, including workforce, management staff, the way in which work is organised, operating methods or operational resources which are available</w:t>
      </w:r>
      <w:r w:rsidRPr="00AA64AE">
        <w:rPr>
          <w:rStyle w:val="Voetnootmarkering"/>
          <w:lang w:val="en-GB"/>
        </w:rPr>
        <w:footnoteReference w:id="13"/>
      </w:r>
      <w:r w:rsidRPr="00AA64AE">
        <w:rPr>
          <w:lang w:val="en-GB"/>
        </w:rPr>
        <w:t>.</w:t>
      </w:r>
      <w:r w:rsidR="00713DCC" w:rsidRPr="00AA64AE">
        <w:rPr>
          <w:lang w:val="en-GB"/>
        </w:rPr>
        <w:t xml:space="preserve"> It also stated that factors such as “</w:t>
      </w:r>
      <w:r w:rsidR="00713DCC" w:rsidRPr="00AA64AE">
        <w:rPr>
          <w:i/>
          <w:lang w:val="en-GB"/>
        </w:rPr>
        <w:t>organisation, operation, financing, management</w:t>
      </w:r>
      <w:r w:rsidR="00713DCC" w:rsidRPr="00AA64AE">
        <w:rPr>
          <w:lang w:val="en-GB"/>
        </w:rPr>
        <w:t>” may identify an economic entity in such a way that “</w:t>
      </w:r>
      <w:r w:rsidR="00713DCC" w:rsidRPr="00AA64AE">
        <w:rPr>
          <w:b/>
          <w:i/>
          <w:lang w:val="en-GB"/>
        </w:rPr>
        <w:t>any alteration of those factors</w:t>
      </w:r>
      <w:r w:rsidR="00713DCC" w:rsidRPr="00AA64AE">
        <w:rPr>
          <w:lang w:val="en-GB"/>
        </w:rPr>
        <w:t>”</w:t>
      </w:r>
      <w:r w:rsidR="009177CB" w:rsidRPr="00AA64AE">
        <w:rPr>
          <w:lang w:val="en-GB"/>
        </w:rPr>
        <w:t xml:space="preserve"> resulting from its transfer</w:t>
      </w:r>
      <w:r w:rsidR="00713DCC" w:rsidRPr="00AA64AE">
        <w:rPr>
          <w:lang w:val="en-GB"/>
        </w:rPr>
        <w:t xml:space="preserve"> would “</w:t>
      </w:r>
      <w:r w:rsidR="00713DCC" w:rsidRPr="00AA64AE">
        <w:rPr>
          <w:i/>
          <w:lang w:val="en-GB"/>
        </w:rPr>
        <w:t>lead to a change in its identity</w:t>
      </w:r>
      <w:r w:rsidR="00713DCC" w:rsidRPr="00AA64AE">
        <w:rPr>
          <w:lang w:val="en-GB"/>
        </w:rPr>
        <w:t>”</w:t>
      </w:r>
      <w:r w:rsidR="00713DCC" w:rsidRPr="00AA64AE">
        <w:rPr>
          <w:rStyle w:val="Voetnootmarkering"/>
          <w:lang w:val="en-GB"/>
        </w:rPr>
        <w:footnoteReference w:id="14"/>
      </w:r>
      <w:r w:rsidR="00713DCC" w:rsidRPr="00AA64AE">
        <w:rPr>
          <w:lang w:val="en-GB"/>
        </w:rPr>
        <w:t xml:space="preserve">. </w:t>
      </w:r>
      <w:r w:rsidR="003B451A" w:rsidRPr="00AA64AE">
        <w:rPr>
          <w:lang w:val="en-GB"/>
        </w:rPr>
        <w:t>That is why the undertakings of X and Y are both unique and distinct</w:t>
      </w:r>
      <w:r w:rsidR="00423979" w:rsidRPr="00AA64AE">
        <w:rPr>
          <w:lang w:val="en-GB"/>
        </w:rPr>
        <w:t xml:space="preserve">. They </w:t>
      </w:r>
      <w:r w:rsidR="0055469D" w:rsidRPr="00AA64AE">
        <w:rPr>
          <w:lang w:val="en-GB"/>
        </w:rPr>
        <w:t xml:space="preserve">only </w:t>
      </w:r>
      <w:r w:rsidR="00423979" w:rsidRPr="00AA64AE">
        <w:rPr>
          <w:lang w:val="en-GB"/>
        </w:rPr>
        <w:t>share a minor part of workforce and the way this</w:t>
      </w:r>
      <w:r w:rsidR="007619DD" w:rsidRPr="00AA64AE">
        <w:rPr>
          <w:lang w:val="en-GB"/>
        </w:rPr>
        <w:t xml:space="preserve"> workforce is organised is</w:t>
      </w:r>
      <w:r w:rsidR="00423979" w:rsidRPr="00AA64AE">
        <w:rPr>
          <w:lang w:val="en-GB"/>
        </w:rPr>
        <w:t xml:space="preserve"> different – X’s employees performed different functions, depending on the time of the day (working in the bar, welcoming guests, serving meals and helping in the ki</w:t>
      </w:r>
      <w:r w:rsidR="006646E8">
        <w:rPr>
          <w:lang w:val="en-GB"/>
        </w:rPr>
        <w:t>tchen). Even</w:t>
      </w:r>
      <w:r w:rsidR="009175DD" w:rsidRPr="00AA64AE">
        <w:rPr>
          <w:lang w:val="en-GB"/>
        </w:rPr>
        <w:t xml:space="preserve"> their scope of duties </w:t>
      </w:r>
      <w:r w:rsidR="006646E8">
        <w:rPr>
          <w:lang w:val="en-GB"/>
        </w:rPr>
        <w:t xml:space="preserve">were clearly named </w:t>
      </w:r>
      <w:r w:rsidR="009175DD" w:rsidRPr="00AA64AE">
        <w:rPr>
          <w:lang w:val="en-GB"/>
        </w:rPr>
        <w:t>as “</w:t>
      </w:r>
      <w:r w:rsidR="009175DD" w:rsidRPr="00AA64AE">
        <w:rPr>
          <w:i/>
          <w:lang w:val="en-GB"/>
        </w:rPr>
        <w:t>waiter, kitchen worker and bartender</w:t>
      </w:r>
      <w:r w:rsidR="009175DD" w:rsidRPr="00AA64AE">
        <w:rPr>
          <w:lang w:val="en-GB"/>
        </w:rPr>
        <w:t xml:space="preserve">”. On the other hand, </w:t>
      </w:r>
      <w:r w:rsidR="00423979" w:rsidRPr="00AA64AE">
        <w:rPr>
          <w:lang w:val="en-GB"/>
        </w:rPr>
        <w:t>Y</w:t>
      </w:r>
      <w:r w:rsidR="002C615B" w:rsidRPr="00AA64AE">
        <w:rPr>
          <w:lang w:val="en-GB"/>
        </w:rPr>
        <w:t xml:space="preserve"> simply</w:t>
      </w:r>
      <w:r w:rsidR="00423979" w:rsidRPr="00AA64AE">
        <w:rPr>
          <w:lang w:val="en-GB"/>
        </w:rPr>
        <w:t xml:space="preserve"> needs waiters and does not intend to entru</w:t>
      </w:r>
      <w:r w:rsidR="009175DD" w:rsidRPr="00AA64AE">
        <w:rPr>
          <w:lang w:val="en-GB"/>
        </w:rPr>
        <w:t xml:space="preserve">st them with such multitasking. </w:t>
      </w:r>
      <w:r w:rsidR="00423979" w:rsidRPr="00AA64AE">
        <w:rPr>
          <w:lang w:val="en-GB"/>
        </w:rPr>
        <w:t xml:space="preserve">The management is also different, as Y employed a famous Italian chef to head the kitchen. All those factors, when taken jointly into account, prove that the degree of similarity between the activities carried out by X and Y is very insignificant and insufficient to conclude </w:t>
      </w:r>
      <w:r w:rsidR="00AF5BA1">
        <w:rPr>
          <w:lang w:val="en-GB"/>
        </w:rPr>
        <w:t>a transfer of undertaking or part of undertaking.</w:t>
      </w:r>
    </w:p>
    <w:p w14:paraId="4A099E33" w14:textId="77777777" w:rsidR="00D507DD" w:rsidRPr="00AA64AE" w:rsidRDefault="00D507DD" w:rsidP="00D507DD">
      <w:pPr>
        <w:spacing w:line="360" w:lineRule="auto"/>
        <w:jc w:val="both"/>
        <w:rPr>
          <w:lang w:val="en-GB"/>
        </w:rPr>
      </w:pPr>
    </w:p>
    <w:p w14:paraId="60EFC2B0" w14:textId="50363A04" w:rsidR="00335C89" w:rsidRPr="00AA64AE" w:rsidRDefault="006770B6" w:rsidP="0034271F">
      <w:pPr>
        <w:pStyle w:val="Kop5"/>
      </w:pPr>
      <w:r w:rsidRPr="00AA64AE">
        <w:lastRenderedPageBreak/>
        <w:t>There was no effective transfer of equipment</w:t>
      </w:r>
    </w:p>
    <w:p w14:paraId="2C68FB0B" w14:textId="77777777" w:rsidR="006B7DE9" w:rsidRPr="00AA64AE" w:rsidRDefault="006B7DE9" w:rsidP="00BB4D97">
      <w:pPr>
        <w:pStyle w:val="Lijstalinea"/>
        <w:spacing w:line="360" w:lineRule="auto"/>
        <w:jc w:val="both"/>
        <w:rPr>
          <w:lang w:val="en-GB"/>
        </w:rPr>
      </w:pPr>
    </w:p>
    <w:p w14:paraId="256C5512" w14:textId="49BAAC03" w:rsidR="00BB4D97" w:rsidRDefault="001A2BFF" w:rsidP="0058051E">
      <w:pPr>
        <w:pStyle w:val="Lijstalinea"/>
        <w:spacing w:line="360" w:lineRule="auto"/>
        <w:jc w:val="both"/>
        <w:rPr>
          <w:lang w:val="en-GB"/>
        </w:rPr>
      </w:pPr>
      <w:r w:rsidRPr="00AA64AE">
        <w:rPr>
          <w:lang w:val="en-GB"/>
        </w:rPr>
        <w:t>Transfer of tangible assets is</w:t>
      </w:r>
      <w:r w:rsidR="00C30C28" w:rsidRPr="00AA64AE">
        <w:rPr>
          <w:lang w:val="en-GB"/>
        </w:rPr>
        <w:t xml:space="preserve"> also</w:t>
      </w:r>
      <w:r w:rsidRPr="00AA64AE">
        <w:rPr>
          <w:lang w:val="en-GB"/>
        </w:rPr>
        <w:t xml:space="preserve"> one of the </w:t>
      </w:r>
      <w:r w:rsidRPr="00AA64AE">
        <w:rPr>
          <w:i/>
          <w:lang w:val="en-GB"/>
        </w:rPr>
        <w:t>Spijkers</w:t>
      </w:r>
      <w:r w:rsidRPr="00AA64AE">
        <w:rPr>
          <w:lang w:val="en-GB"/>
        </w:rPr>
        <w:t xml:space="preserve"> test criteria.</w:t>
      </w:r>
      <w:r w:rsidR="00F2682C" w:rsidRPr="00AA64AE">
        <w:rPr>
          <w:lang w:val="en-GB"/>
        </w:rPr>
        <w:t xml:space="preserve"> Besides, the CJEU considers catering as “</w:t>
      </w:r>
      <w:r w:rsidR="00F2682C" w:rsidRPr="00AA64AE">
        <w:rPr>
          <w:i/>
          <w:lang w:val="en-GB"/>
        </w:rPr>
        <w:t>the activity based essentially on equipment</w:t>
      </w:r>
      <w:r w:rsidR="00F2682C" w:rsidRPr="00AA64AE">
        <w:rPr>
          <w:lang w:val="en-GB"/>
        </w:rPr>
        <w:t>”.</w:t>
      </w:r>
      <w:r w:rsidR="00C446B0" w:rsidRPr="00AA64AE">
        <w:rPr>
          <w:lang w:val="en-GB"/>
        </w:rPr>
        <w:t xml:space="preserve"> Therefore, in case of restaurants</w:t>
      </w:r>
      <w:r w:rsidR="00900B76" w:rsidRPr="00AA64AE">
        <w:rPr>
          <w:lang w:val="en-GB"/>
        </w:rPr>
        <w:t>,</w:t>
      </w:r>
      <w:r w:rsidR="00C446B0" w:rsidRPr="00AA64AE">
        <w:rPr>
          <w:lang w:val="en-GB"/>
        </w:rPr>
        <w:t xml:space="preserve"> a transfer of undertaking may take place</w:t>
      </w:r>
      <w:r w:rsidR="0060557B" w:rsidRPr="00AA64AE">
        <w:rPr>
          <w:lang w:val="en-GB"/>
        </w:rPr>
        <w:t xml:space="preserve"> only</w:t>
      </w:r>
      <w:r w:rsidR="00C446B0" w:rsidRPr="00AA64AE">
        <w:rPr>
          <w:lang w:val="en-GB"/>
        </w:rPr>
        <w:t xml:space="preserve"> </w:t>
      </w:r>
      <w:r w:rsidR="00915C91" w:rsidRPr="00AA64AE">
        <w:rPr>
          <w:lang w:val="en-GB"/>
        </w:rPr>
        <w:t>if</w:t>
      </w:r>
      <w:r w:rsidR="001D73F0" w:rsidRPr="00AA64AE">
        <w:rPr>
          <w:lang w:val="en-GB"/>
        </w:rPr>
        <w:t xml:space="preserve"> </w:t>
      </w:r>
      <w:r w:rsidR="00C446B0" w:rsidRPr="00AA64AE">
        <w:rPr>
          <w:lang w:val="en-GB"/>
        </w:rPr>
        <w:t>there is a transfer of the premises and equipment “</w:t>
      </w:r>
      <w:r w:rsidR="00C446B0" w:rsidRPr="00AA64AE">
        <w:rPr>
          <w:i/>
          <w:lang w:val="en-GB"/>
        </w:rPr>
        <w:t>indispensable for the preparation and distribution of meals</w:t>
      </w:r>
      <w:r w:rsidR="00C446B0" w:rsidRPr="00AA64AE">
        <w:rPr>
          <w:lang w:val="en-GB"/>
        </w:rPr>
        <w:t>”</w:t>
      </w:r>
      <w:r w:rsidR="00074106" w:rsidRPr="00AA64AE">
        <w:rPr>
          <w:rStyle w:val="Voetnootmarkering"/>
          <w:lang w:val="en-GB"/>
        </w:rPr>
        <w:footnoteReference w:id="15"/>
      </w:r>
      <w:r w:rsidR="00C446B0" w:rsidRPr="00AA64AE">
        <w:rPr>
          <w:lang w:val="en-GB"/>
        </w:rPr>
        <w:t xml:space="preserve">. </w:t>
      </w:r>
      <w:r w:rsidR="00074106" w:rsidRPr="00AA64AE">
        <w:rPr>
          <w:lang w:val="en-GB"/>
        </w:rPr>
        <w:t xml:space="preserve">However, first of all, the quoted </w:t>
      </w:r>
      <w:r w:rsidR="00074106" w:rsidRPr="00AA64AE">
        <w:rPr>
          <w:i/>
          <w:lang w:val="en-GB"/>
        </w:rPr>
        <w:t>Abler</w:t>
      </w:r>
      <w:r w:rsidR="00074106" w:rsidRPr="00AA64AE">
        <w:rPr>
          <w:lang w:val="en-GB"/>
        </w:rPr>
        <w:t xml:space="preserve"> case concerned two subsequent contractors of a hospital which provided catering services to</w:t>
      </w:r>
      <w:r w:rsidR="009177CB" w:rsidRPr="00AA64AE">
        <w:rPr>
          <w:lang w:val="en-GB"/>
        </w:rPr>
        <w:t xml:space="preserve"> its</w:t>
      </w:r>
      <w:r w:rsidR="00074106" w:rsidRPr="00AA64AE">
        <w:rPr>
          <w:lang w:val="en-GB"/>
        </w:rPr>
        <w:t xml:space="preserve"> patients and staff. They both used the same kitchen and equipment</w:t>
      </w:r>
      <w:r w:rsidR="00AF5BA1">
        <w:rPr>
          <w:lang w:val="en-GB"/>
        </w:rPr>
        <w:t xml:space="preserve"> and provided services to the same category of clients</w:t>
      </w:r>
      <w:r w:rsidR="00074106" w:rsidRPr="00AA64AE">
        <w:rPr>
          <w:lang w:val="en-GB"/>
        </w:rPr>
        <w:t xml:space="preserve">. On the other hand, in this case, </w:t>
      </w:r>
      <w:r w:rsidR="00213944" w:rsidRPr="00AA64AE">
        <w:rPr>
          <w:lang w:val="en-GB"/>
        </w:rPr>
        <w:t xml:space="preserve">the </w:t>
      </w:r>
      <w:r w:rsidR="00C057B2" w:rsidRPr="00AA64AE">
        <w:rPr>
          <w:lang w:val="en-GB"/>
        </w:rPr>
        <w:t>Italian restaurant &amp;</w:t>
      </w:r>
      <w:r w:rsidR="00074106" w:rsidRPr="00AA64AE">
        <w:rPr>
          <w:lang w:val="en-GB"/>
        </w:rPr>
        <w:t xml:space="preserve"> bar need different infrastructure from a general dining room, such as operated by X. Obviously, there are </w:t>
      </w:r>
      <w:r w:rsidR="00C67BDA" w:rsidRPr="00AA64AE">
        <w:rPr>
          <w:lang w:val="en-GB"/>
        </w:rPr>
        <w:t>many kinds of</w:t>
      </w:r>
      <w:r w:rsidR="00074106" w:rsidRPr="00AA64AE">
        <w:rPr>
          <w:lang w:val="en-GB"/>
        </w:rPr>
        <w:t xml:space="preserve"> cuisine</w:t>
      </w:r>
      <w:r w:rsidR="00C057B2" w:rsidRPr="00AA64AE">
        <w:rPr>
          <w:lang w:val="en-GB"/>
        </w:rPr>
        <w:t>s</w:t>
      </w:r>
      <w:r w:rsidR="00074106" w:rsidRPr="00AA64AE">
        <w:rPr>
          <w:lang w:val="en-GB"/>
        </w:rPr>
        <w:t xml:space="preserve"> and equipment used to prepare and serve meals. Thus, </w:t>
      </w:r>
      <w:r w:rsidR="0040268E" w:rsidRPr="00AA64AE">
        <w:rPr>
          <w:lang w:val="en-GB"/>
        </w:rPr>
        <w:t>there are</w:t>
      </w:r>
      <w:r w:rsidR="00877974" w:rsidRPr="00AA64AE">
        <w:rPr>
          <w:lang w:val="en-GB"/>
        </w:rPr>
        <w:t xml:space="preserve"> </w:t>
      </w:r>
      <w:r w:rsidR="00C67BDA">
        <w:rPr>
          <w:lang w:val="en-GB"/>
        </w:rPr>
        <w:t>different</w:t>
      </w:r>
      <w:r w:rsidR="00877974" w:rsidRPr="00AA64AE">
        <w:rPr>
          <w:lang w:val="en-GB"/>
        </w:rPr>
        <w:t xml:space="preserve"> </w:t>
      </w:r>
      <w:r w:rsidR="00374F91" w:rsidRPr="00AA64AE">
        <w:rPr>
          <w:lang w:val="en-GB"/>
        </w:rPr>
        <w:t>sorts of equipment needed by e.g. a sushi restaurant</w:t>
      </w:r>
      <w:r w:rsidR="00BB4D97" w:rsidRPr="00AA64AE">
        <w:rPr>
          <w:lang w:val="en-GB"/>
        </w:rPr>
        <w:t>, an</w:t>
      </w:r>
      <w:r w:rsidR="00374F91" w:rsidRPr="00AA64AE">
        <w:rPr>
          <w:lang w:val="en-GB"/>
        </w:rPr>
        <w:t xml:space="preserve"> </w:t>
      </w:r>
      <w:r w:rsidR="00BB4D97" w:rsidRPr="00AA64AE">
        <w:rPr>
          <w:lang w:val="en-GB"/>
        </w:rPr>
        <w:t xml:space="preserve">American fast food bar </w:t>
      </w:r>
      <w:r w:rsidR="00374F91" w:rsidRPr="00AA64AE">
        <w:rPr>
          <w:lang w:val="en-GB"/>
        </w:rPr>
        <w:t xml:space="preserve">or a </w:t>
      </w:r>
      <w:r w:rsidR="00BB4D97" w:rsidRPr="00AA64AE">
        <w:rPr>
          <w:lang w:val="en-GB"/>
        </w:rPr>
        <w:t>molecular gastronomy restaurant</w:t>
      </w:r>
      <w:r w:rsidR="00074106" w:rsidRPr="00AA64AE">
        <w:rPr>
          <w:lang w:val="en-GB"/>
        </w:rPr>
        <w:t xml:space="preserve">. An exclusive Italian restaurant </w:t>
      </w:r>
      <w:r w:rsidR="00374F91" w:rsidRPr="00AA64AE">
        <w:rPr>
          <w:lang w:val="en-GB"/>
        </w:rPr>
        <w:t xml:space="preserve">also </w:t>
      </w:r>
      <w:r w:rsidR="00074106" w:rsidRPr="00AA64AE">
        <w:rPr>
          <w:lang w:val="en-GB"/>
        </w:rPr>
        <w:t xml:space="preserve">needs to have special </w:t>
      </w:r>
      <w:r w:rsidR="00374F91" w:rsidRPr="00AA64AE">
        <w:rPr>
          <w:lang w:val="en-GB"/>
        </w:rPr>
        <w:t xml:space="preserve">kitchen </w:t>
      </w:r>
      <w:r w:rsidR="00074106" w:rsidRPr="00AA64AE">
        <w:rPr>
          <w:lang w:val="en-GB"/>
        </w:rPr>
        <w:t xml:space="preserve">devices </w:t>
      </w:r>
      <w:r w:rsidR="00877974" w:rsidRPr="00AA64AE">
        <w:rPr>
          <w:lang w:val="en-GB"/>
        </w:rPr>
        <w:t>“</w:t>
      </w:r>
      <w:r w:rsidR="00877974" w:rsidRPr="00AA64AE">
        <w:rPr>
          <w:i/>
          <w:lang w:val="en-GB"/>
        </w:rPr>
        <w:t>indispensable for the preparation of meals”</w:t>
      </w:r>
      <w:r w:rsidR="00877974" w:rsidRPr="00AA64AE">
        <w:rPr>
          <w:lang w:val="en-GB"/>
        </w:rPr>
        <w:t xml:space="preserve"> </w:t>
      </w:r>
      <w:r w:rsidR="00074106" w:rsidRPr="00AA64AE">
        <w:rPr>
          <w:lang w:val="en-GB"/>
        </w:rPr>
        <w:t>(a pizza oven, for instance)</w:t>
      </w:r>
      <w:r w:rsidR="00877974" w:rsidRPr="00AA64AE">
        <w:rPr>
          <w:lang w:val="en-GB"/>
        </w:rPr>
        <w:t xml:space="preserve"> </w:t>
      </w:r>
      <w:r w:rsidR="00374F91" w:rsidRPr="00AA64AE">
        <w:rPr>
          <w:lang w:val="en-GB"/>
        </w:rPr>
        <w:t>which neither X</w:t>
      </w:r>
      <w:r w:rsidR="00130F20" w:rsidRPr="00AA64AE">
        <w:rPr>
          <w:lang w:val="en-GB"/>
        </w:rPr>
        <w:t xml:space="preserve"> (serving simple snacks and lunches)</w:t>
      </w:r>
      <w:r w:rsidR="00374F91" w:rsidRPr="00AA64AE">
        <w:rPr>
          <w:lang w:val="en-GB"/>
        </w:rPr>
        <w:t xml:space="preserve">, nor the real estate lessor possessed, of course. </w:t>
      </w:r>
      <w:r w:rsidR="00877974" w:rsidRPr="00AA64AE">
        <w:rPr>
          <w:lang w:val="en-GB"/>
        </w:rPr>
        <w:t>Furthermore</w:t>
      </w:r>
      <w:r w:rsidR="00374F91" w:rsidRPr="00AA64AE">
        <w:rPr>
          <w:lang w:val="en-GB"/>
        </w:rPr>
        <w:t xml:space="preserve">, </w:t>
      </w:r>
      <w:r w:rsidR="00C15E9C" w:rsidRPr="00AA64AE">
        <w:rPr>
          <w:lang w:val="en-GB"/>
        </w:rPr>
        <w:t xml:space="preserve">X leased all </w:t>
      </w:r>
      <w:r w:rsidR="00C67BDA">
        <w:rPr>
          <w:lang w:val="en-GB"/>
        </w:rPr>
        <w:t>its</w:t>
      </w:r>
      <w:r w:rsidR="00C15E9C" w:rsidRPr="00AA64AE">
        <w:rPr>
          <w:lang w:val="en-GB"/>
        </w:rPr>
        <w:t xml:space="preserve"> </w:t>
      </w:r>
      <w:r w:rsidR="00212656" w:rsidRPr="00AA64AE">
        <w:rPr>
          <w:lang w:val="en-GB"/>
        </w:rPr>
        <w:t xml:space="preserve">accessories and tools from certain </w:t>
      </w:r>
      <w:r w:rsidR="00D84414" w:rsidRPr="00AA64AE">
        <w:rPr>
          <w:lang w:val="en-GB"/>
        </w:rPr>
        <w:t>institutions</w:t>
      </w:r>
      <w:r w:rsidR="002415DE" w:rsidRPr="00AA64AE">
        <w:rPr>
          <w:lang w:val="en-GB"/>
        </w:rPr>
        <w:t xml:space="preserve"> – therefore, these assets did not pass on to Y.</w:t>
      </w:r>
      <w:r w:rsidR="004C6FBB" w:rsidRPr="00AA64AE">
        <w:rPr>
          <w:lang w:val="en-GB"/>
        </w:rPr>
        <w:t xml:space="preserve"> </w:t>
      </w:r>
      <w:r w:rsidR="0058051E" w:rsidRPr="00AA64AE">
        <w:rPr>
          <w:lang w:val="en-GB"/>
        </w:rPr>
        <w:t>Yet, the transfer of</w:t>
      </w:r>
      <w:r w:rsidR="009407BF" w:rsidRPr="00AA64AE">
        <w:rPr>
          <w:lang w:val="en-GB"/>
        </w:rPr>
        <w:t xml:space="preserve"> “</w:t>
      </w:r>
      <w:r w:rsidR="009407BF" w:rsidRPr="00AA64AE">
        <w:rPr>
          <w:i/>
          <w:lang w:val="en-GB"/>
        </w:rPr>
        <w:t>essential tools of production</w:t>
      </w:r>
      <w:r w:rsidR="009407BF" w:rsidRPr="00AA64AE">
        <w:rPr>
          <w:lang w:val="en-GB"/>
        </w:rPr>
        <w:t>”</w:t>
      </w:r>
      <w:r w:rsidR="0058051E" w:rsidRPr="00AA64AE">
        <w:rPr>
          <w:lang w:val="en-GB"/>
        </w:rPr>
        <w:t xml:space="preserve"> was</w:t>
      </w:r>
      <w:r w:rsidR="009407BF" w:rsidRPr="00AA64AE">
        <w:rPr>
          <w:lang w:val="en-GB"/>
        </w:rPr>
        <w:t xml:space="preserve"> considered by the CJEU </w:t>
      </w:r>
      <w:r w:rsidR="0058051E" w:rsidRPr="00AA64AE">
        <w:rPr>
          <w:lang w:val="en-GB"/>
        </w:rPr>
        <w:t>as one of factors deciding about the transfer of undertaking</w:t>
      </w:r>
      <w:r w:rsidR="0058051E" w:rsidRPr="00AA64AE">
        <w:rPr>
          <w:rStyle w:val="Voetnootmarkering"/>
          <w:lang w:val="en-GB"/>
        </w:rPr>
        <w:footnoteReference w:id="16"/>
      </w:r>
      <w:r w:rsidR="0058051E" w:rsidRPr="00AA64AE">
        <w:rPr>
          <w:lang w:val="en-GB"/>
        </w:rPr>
        <w:t>.</w:t>
      </w:r>
      <w:r w:rsidR="002415DE" w:rsidRPr="00AA64AE">
        <w:rPr>
          <w:lang w:val="en-GB"/>
        </w:rPr>
        <w:t xml:space="preserve"> Besides,</w:t>
      </w:r>
      <w:r w:rsidR="00D84414" w:rsidRPr="00AA64AE">
        <w:rPr>
          <w:lang w:val="en-GB"/>
        </w:rPr>
        <w:t xml:space="preserve"> </w:t>
      </w:r>
      <w:r w:rsidR="00374F91" w:rsidRPr="00AA64AE">
        <w:rPr>
          <w:lang w:val="en-GB"/>
        </w:rPr>
        <w:t xml:space="preserve">considering its ‘exclusive’ status, </w:t>
      </w:r>
      <w:r w:rsidR="00877974" w:rsidRPr="00AA64AE">
        <w:rPr>
          <w:lang w:val="en-GB"/>
        </w:rPr>
        <w:t>Y</w:t>
      </w:r>
      <w:r w:rsidR="00374F91" w:rsidRPr="00AA64AE">
        <w:rPr>
          <w:lang w:val="en-GB"/>
        </w:rPr>
        <w:t xml:space="preserve"> will surely have to buy </w:t>
      </w:r>
      <w:r w:rsidR="00877974" w:rsidRPr="00AA64AE">
        <w:rPr>
          <w:lang w:val="en-GB"/>
        </w:rPr>
        <w:t xml:space="preserve">new elegant </w:t>
      </w:r>
      <w:r w:rsidR="000B6326">
        <w:rPr>
          <w:lang w:val="en-GB"/>
        </w:rPr>
        <w:t>tables, chairs</w:t>
      </w:r>
      <w:r w:rsidR="00A3065E">
        <w:rPr>
          <w:lang w:val="en-GB"/>
        </w:rPr>
        <w:t xml:space="preserve">, </w:t>
      </w:r>
      <w:r w:rsidR="00877974" w:rsidRPr="00AA64AE">
        <w:rPr>
          <w:lang w:val="en-GB"/>
        </w:rPr>
        <w:t xml:space="preserve">cutlery, glassware or tablecloths which will </w:t>
      </w:r>
      <w:r w:rsidR="002415DE" w:rsidRPr="00AA64AE">
        <w:rPr>
          <w:lang w:val="en-GB"/>
        </w:rPr>
        <w:t>thus</w:t>
      </w:r>
      <w:r w:rsidR="00877974" w:rsidRPr="00AA64AE">
        <w:rPr>
          <w:lang w:val="en-GB"/>
        </w:rPr>
        <w:t xml:space="preserve"> constitute a valuable part of Y’s material assets not transferred from X</w:t>
      </w:r>
      <w:r w:rsidR="00BB4D97" w:rsidRPr="00AA64AE">
        <w:rPr>
          <w:lang w:val="en-GB"/>
        </w:rPr>
        <w:t>’s general dining room</w:t>
      </w:r>
      <w:r w:rsidR="00877974" w:rsidRPr="00AA64AE">
        <w:rPr>
          <w:lang w:val="en-GB"/>
        </w:rPr>
        <w:t>. Finally, the contract of lease provided that all equipment present at kitchen would</w:t>
      </w:r>
      <w:r w:rsidR="00647B5D" w:rsidRPr="00AA64AE">
        <w:rPr>
          <w:lang w:val="en-GB"/>
        </w:rPr>
        <w:t xml:space="preserve"> be transferred to Y which would </w:t>
      </w:r>
      <w:r w:rsidR="00877974" w:rsidRPr="00AA64AE">
        <w:rPr>
          <w:lang w:val="en-GB"/>
        </w:rPr>
        <w:t>be free to use or get rid of it. Thus, there are no</w:t>
      </w:r>
      <w:r w:rsidR="00925BBE" w:rsidRPr="00AA64AE">
        <w:rPr>
          <w:lang w:val="en-GB"/>
        </w:rPr>
        <w:t xml:space="preserve"> conclusive</w:t>
      </w:r>
      <w:r w:rsidR="00877974" w:rsidRPr="00AA64AE">
        <w:rPr>
          <w:lang w:val="en-GB"/>
        </w:rPr>
        <w:t xml:space="preserve"> proves that</w:t>
      </w:r>
      <w:r w:rsidR="001B3C29" w:rsidRPr="00AA64AE">
        <w:rPr>
          <w:lang w:val="en-GB"/>
        </w:rPr>
        <w:t xml:space="preserve"> Y has after all decided to make effective use of the equipment left after X.</w:t>
      </w:r>
      <w:r w:rsidR="00130F20" w:rsidRPr="00AA64AE">
        <w:rPr>
          <w:lang w:val="en-GB"/>
        </w:rPr>
        <w:t xml:space="preserve"> </w:t>
      </w:r>
      <w:r w:rsidR="00466770">
        <w:rPr>
          <w:lang w:val="en-GB"/>
        </w:rPr>
        <w:t xml:space="preserve">All </w:t>
      </w:r>
      <w:r w:rsidR="00690BCC">
        <w:rPr>
          <w:lang w:val="en-GB"/>
        </w:rPr>
        <w:t xml:space="preserve">the </w:t>
      </w:r>
      <w:r w:rsidR="00466770">
        <w:rPr>
          <w:lang w:val="en-GB"/>
        </w:rPr>
        <w:t xml:space="preserve">above conclusions are additionally supported by the fact that before the opening of the Y’s restaurant, </w:t>
      </w:r>
      <w:r w:rsidR="00710AAF">
        <w:rPr>
          <w:lang w:val="en-GB"/>
        </w:rPr>
        <w:t>there was a need for a</w:t>
      </w:r>
      <w:r w:rsidR="00466770">
        <w:rPr>
          <w:lang w:val="en-GB"/>
        </w:rPr>
        <w:t xml:space="preserve"> 3-month</w:t>
      </w:r>
      <w:r w:rsidR="00BF38D0">
        <w:rPr>
          <w:lang w:val="en-GB"/>
        </w:rPr>
        <w:t>s</w:t>
      </w:r>
      <w:r w:rsidR="00466770">
        <w:rPr>
          <w:lang w:val="en-GB"/>
        </w:rPr>
        <w:t xml:space="preserve">-long renovation of the building. </w:t>
      </w:r>
      <w:r w:rsidR="00101070">
        <w:rPr>
          <w:lang w:val="en-GB"/>
        </w:rPr>
        <w:t>It proves</w:t>
      </w:r>
      <w:r w:rsidR="00466770">
        <w:rPr>
          <w:lang w:val="en-GB"/>
        </w:rPr>
        <w:t xml:space="preserve"> that the mere access to premises, in which X had provided </w:t>
      </w:r>
      <w:r w:rsidR="00C67BDA">
        <w:rPr>
          <w:lang w:val="en-GB"/>
        </w:rPr>
        <w:t xml:space="preserve">services, without </w:t>
      </w:r>
      <w:r w:rsidR="00466770">
        <w:rPr>
          <w:lang w:val="en-GB"/>
        </w:rPr>
        <w:t>proper equipment and staff, did not by itself enable Y to operate</w:t>
      </w:r>
      <w:r w:rsidR="00084325">
        <w:rPr>
          <w:lang w:val="en-GB"/>
        </w:rPr>
        <w:t xml:space="preserve"> its</w:t>
      </w:r>
      <w:r w:rsidR="00466770">
        <w:rPr>
          <w:lang w:val="en-GB"/>
        </w:rPr>
        <w:t xml:space="preserve"> exclusive Italian restaurant.</w:t>
      </w:r>
    </w:p>
    <w:p w14:paraId="0AA5A446" w14:textId="77777777" w:rsidR="00980961" w:rsidRDefault="00980961" w:rsidP="0058051E">
      <w:pPr>
        <w:pStyle w:val="Lijstalinea"/>
        <w:spacing w:line="360" w:lineRule="auto"/>
        <w:jc w:val="both"/>
        <w:rPr>
          <w:lang w:val="en-GB"/>
        </w:rPr>
      </w:pPr>
    </w:p>
    <w:p w14:paraId="0F9BBB3E" w14:textId="745AAAF5" w:rsidR="00980961" w:rsidRPr="00AA64AE" w:rsidRDefault="00A22C52" w:rsidP="00980961">
      <w:pPr>
        <w:pStyle w:val="Kop5"/>
      </w:pPr>
      <w:r>
        <w:lastRenderedPageBreak/>
        <w:t>No Intangib</w:t>
      </w:r>
      <w:r w:rsidR="00FF1D6D">
        <w:t>le assets could be transferred</w:t>
      </w:r>
    </w:p>
    <w:p w14:paraId="69EC405F" w14:textId="77777777" w:rsidR="00BB4D97" w:rsidRDefault="00BB4D97" w:rsidP="006770B6">
      <w:pPr>
        <w:pStyle w:val="Lijstalinea"/>
        <w:spacing w:line="360" w:lineRule="auto"/>
        <w:jc w:val="both"/>
        <w:rPr>
          <w:lang w:val="en-GB"/>
        </w:rPr>
      </w:pPr>
    </w:p>
    <w:p w14:paraId="4D8E8A0B" w14:textId="596AB486" w:rsidR="006204EE" w:rsidRDefault="006204EE" w:rsidP="006770B6">
      <w:pPr>
        <w:pStyle w:val="Lijstalinea"/>
        <w:spacing w:line="360" w:lineRule="auto"/>
        <w:jc w:val="both"/>
        <w:rPr>
          <w:lang w:val="en-GB"/>
        </w:rPr>
      </w:pPr>
      <w:r>
        <w:rPr>
          <w:lang w:val="en-GB"/>
        </w:rPr>
        <w:t>Since X operated a dining room offering simple</w:t>
      </w:r>
      <w:r w:rsidR="00D07595">
        <w:rPr>
          <w:lang w:val="en-GB"/>
        </w:rPr>
        <w:t xml:space="preserve"> meals and snacks, while its</w:t>
      </w:r>
      <w:r>
        <w:rPr>
          <w:lang w:val="en-GB"/>
        </w:rPr>
        <w:t xml:space="preserve"> customers </w:t>
      </w:r>
      <w:r w:rsidR="00D07595">
        <w:rPr>
          <w:lang w:val="en-GB"/>
        </w:rPr>
        <w:t xml:space="preserve">were mostly </w:t>
      </w:r>
      <w:r w:rsidR="00572657">
        <w:rPr>
          <w:lang w:val="en-GB"/>
        </w:rPr>
        <w:t>local</w:t>
      </w:r>
      <w:r w:rsidR="00D07595">
        <w:rPr>
          <w:lang w:val="en-GB"/>
        </w:rPr>
        <w:t xml:space="preserve"> workers who treated it as</w:t>
      </w:r>
      <w:r w:rsidR="00270B86">
        <w:rPr>
          <w:lang w:val="en-GB"/>
        </w:rPr>
        <w:t xml:space="preserve"> an</w:t>
      </w:r>
      <w:r w:rsidR="00D07595">
        <w:rPr>
          <w:lang w:val="en-GB"/>
        </w:rPr>
        <w:t xml:space="preserve"> </w:t>
      </w:r>
      <w:r w:rsidR="00D8699D">
        <w:rPr>
          <w:lang w:val="en-GB"/>
        </w:rPr>
        <w:t>office</w:t>
      </w:r>
      <w:r w:rsidR="00D07595">
        <w:rPr>
          <w:lang w:val="en-GB"/>
        </w:rPr>
        <w:t xml:space="preserve"> ca</w:t>
      </w:r>
      <w:r w:rsidR="005C0D0F">
        <w:rPr>
          <w:lang w:val="en-GB"/>
        </w:rPr>
        <w:t xml:space="preserve">nteen, it is hard to imagine </w:t>
      </w:r>
      <w:r w:rsidR="00570665">
        <w:rPr>
          <w:lang w:val="en-GB"/>
        </w:rPr>
        <w:t xml:space="preserve">that such an undertaking could present a significant value of intangible assets. It remains unknown whether X had any trademarks, trade name, franchise or know-how. However, considering its status of a simple dining room for local office workers, it is very likely that it had none. Even if it had a trade name or know-how for instance, </w:t>
      </w:r>
      <w:r w:rsidR="000A483F">
        <w:rPr>
          <w:lang w:val="en-GB"/>
        </w:rPr>
        <w:t xml:space="preserve">Y has no intention to </w:t>
      </w:r>
      <w:r w:rsidR="00D218B3">
        <w:rPr>
          <w:lang w:val="en-GB"/>
        </w:rPr>
        <w:t>use</w:t>
      </w:r>
      <w:r w:rsidR="000A483F">
        <w:rPr>
          <w:lang w:val="en-GB"/>
        </w:rPr>
        <w:t xml:space="preserve"> it, since it operates a totally different undertaking, which offers </w:t>
      </w:r>
      <w:r w:rsidR="003278B3">
        <w:rPr>
          <w:lang w:val="en-GB"/>
        </w:rPr>
        <w:t xml:space="preserve">a completely </w:t>
      </w:r>
      <w:r w:rsidR="000A483F">
        <w:rPr>
          <w:lang w:val="en-GB"/>
        </w:rPr>
        <w:t>different menu and is meant to be exclusive, therefore any intangible assets of a dining room would not help to build its brand and reputation.</w:t>
      </w:r>
      <w:r w:rsidR="00C04493">
        <w:rPr>
          <w:lang w:val="en-GB"/>
        </w:rPr>
        <w:t xml:space="preserve"> At the same </w:t>
      </w:r>
      <w:r w:rsidR="00CB5946">
        <w:rPr>
          <w:lang w:val="en-GB"/>
        </w:rPr>
        <w:t>time,</w:t>
      </w:r>
      <w:r w:rsidR="00C04493">
        <w:rPr>
          <w:lang w:val="en-GB"/>
        </w:rPr>
        <w:t xml:space="preserve"> it</w:t>
      </w:r>
      <w:r w:rsidR="007776E2">
        <w:rPr>
          <w:lang w:val="en-GB"/>
        </w:rPr>
        <w:t xml:space="preserve"> is</w:t>
      </w:r>
      <w:r w:rsidR="00C04493">
        <w:rPr>
          <w:lang w:val="en-GB"/>
        </w:rPr>
        <w:t xml:space="preserve"> worth </w:t>
      </w:r>
      <w:r w:rsidR="00C90CB4">
        <w:rPr>
          <w:lang w:val="en-GB"/>
        </w:rPr>
        <w:t>mentioning that intangible assets were called “</w:t>
      </w:r>
      <w:r w:rsidR="00C90CB4" w:rsidRPr="00C90CB4">
        <w:rPr>
          <w:i/>
          <w:lang w:val="en-GB"/>
        </w:rPr>
        <w:t>of little or no importance</w:t>
      </w:r>
      <w:r w:rsidR="00C90CB4">
        <w:rPr>
          <w:lang w:val="en-GB"/>
        </w:rPr>
        <w:t xml:space="preserve">” </w:t>
      </w:r>
      <w:r w:rsidR="00C90CB4" w:rsidRPr="00C90CB4">
        <w:rPr>
          <w:b/>
          <w:lang w:val="en-GB"/>
        </w:rPr>
        <w:t>only</w:t>
      </w:r>
      <w:r w:rsidR="00C90CB4">
        <w:rPr>
          <w:lang w:val="en-GB"/>
        </w:rPr>
        <w:t xml:space="preserve"> in case of transfers of undertakings in which “</w:t>
      </w:r>
      <w:r w:rsidR="00C90CB4" w:rsidRPr="00C90CB4">
        <w:rPr>
          <w:i/>
          <w:lang w:val="en-GB"/>
        </w:rPr>
        <w:t>the human factor, the workforce, is the main consideration</w:t>
      </w:r>
      <w:r w:rsidR="00C90CB4">
        <w:rPr>
          <w:lang w:val="en-GB"/>
        </w:rPr>
        <w:t>”</w:t>
      </w:r>
      <w:r w:rsidR="00C90CB4">
        <w:rPr>
          <w:rStyle w:val="Voetnootmarkering"/>
          <w:lang w:val="en-GB"/>
        </w:rPr>
        <w:footnoteReference w:id="17"/>
      </w:r>
      <w:r w:rsidR="00C90CB4">
        <w:rPr>
          <w:lang w:val="en-GB"/>
        </w:rPr>
        <w:t>.</w:t>
      </w:r>
      <w:r w:rsidR="004D4966">
        <w:rPr>
          <w:lang w:val="en-GB"/>
        </w:rPr>
        <w:t xml:space="preserve"> As </w:t>
      </w:r>
      <w:r w:rsidR="00CC33E2">
        <w:rPr>
          <w:lang w:val="en-GB"/>
        </w:rPr>
        <w:t>explained above, running a</w:t>
      </w:r>
      <w:r w:rsidR="004D4966">
        <w:rPr>
          <w:lang w:val="en-GB"/>
        </w:rPr>
        <w:t xml:space="preserve"> restaurant is an activity “</w:t>
      </w:r>
      <w:r w:rsidR="004D4966" w:rsidRPr="004D4966">
        <w:rPr>
          <w:i/>
          <w:lang w:val="en-GB"/>
        </w:rPr>
        <w:t>based essentially on equipment</w:t>
      </w:r>
      <w:r w:rsidR="004D4966">
        <w:rPr>
          <w:lang w:val="en-GB"/>
        </w:rPr>
        <w:t xml:space="preserve">”, therefore transfer of intangible assets and their value should be </w:t>
      </w:r>
      <w:r w:rsidR="001979B2">
        <w:rPr>
          <w:lang w:val="en-GB"/>
        </w:rPr>
        <w:t>an important criterion in this case.</w:t>
      </w:r>
    </w:p>
    <w:p w14:paraId="705299AA" w14:textId="77777777" w:rsidR="006204EE" w:rsidRPr="00AA64AE" w:rsidRDefault="006204EE" w:rsidP="006770B6">
      <w:pPr>
        <w:pStyle w:val="Lijstalinea"/>
        <w:spacing w:line="360" w:lineRule="auto"/>
        <w:jc w:val="both"/>
        <w:rPr>
          <w:lang w:val="en-GB"/>
        </w:rPr>
      </w:pPr>
    </w:p>
    <w:p w14:paraId="670FA8DB" w14:textId="7BDAB0A0" w:rsidR="006770B6" w:rsidRPr="00AA64AE" w:rsidRDefault="00130F20" w:rsidP="0034271F">
      <w:pPr>
        <w:pStyle w:val="Kop5"/>
      </w:pPr>
      <w:r w:rsidRPr="00AA64AE">
        <w:t>No majority of employees were taken over</w:t>
      </w:r>
    </w:p>
    <w:p w14:paraId="01FEF4F9" w14:textId="77777777" w:rsidR="00130F20" w:rsidRPr="00AA64AE" w:rsidRDefault="00130F20" w:rsidP="00130F20">
      <w:pPr>
        <w:pStyle w:val="Lijstalinea"/>
        <w:spacing w:line="360" w:lineRule="auto"/>
        <w:jc w:val="both"/>
        <w:rPr>
          <w:lang w:val="en-GB"/>
        </w:rPr>
      </w:pPr>
    </w:p>
    <w:p w14:paraId="1AF706F5" w14:textId="22620A69" w:rsidR="00130F20" w:rsidRPr="00AA64AE" w:rsidRDefault="00A61606" w:rsidP="00BC676F">
      <w:pPr>
        <w:pStyle w:val="Lijstalinea"/>
        <w:spacing w:line="360" w:lineRule="auto"/>
        <w:jc w:val="both"/>
        <w:rPr>
          <w:lang w:val="en-GB"/>
        </w:rPr>
      </w:pPr>
      <w:r w:rsidRPr="00AA64AE">
        <w:rPr>
          <w:lang w:val="en-GB"/>
        </w:rPr>
        <w:t>N</w:t>
      </w:r>
      <w:r w:rsidR="00130F20" w:rsidRPr="00AA64AE">
        <w:rPr>
          <w:lang w:val="en-GB"/>
        </w:rPr>
        <w:t xml:space="preserve">o majority of employees were taken over </w:t>
      </w:r>
      <w:r w:rsidR="006E6DFD">
        <w:rPr>
          <w:lang w:val="en-GB"/>
        </w:rPr>
        <w:t>- amongst 12 waiters only 5 were</w:t>
      </w:r>
      <w:r w:rsidR="00130F20" w:rsidRPr="00AA64AE">
        <w:rPr>
          <w:lang w:val="en-GB"/>
        </w:rPr>
        <w:t xml:space="preserve"> re-employed by Y - thus, </w:t>
      </w:r>
      <w:r w:rsidR="00E244D1" w:rsidRPr="00AA64AE">
        <w:rPr>
          <w:lang w:val="en-GB"/>
        </w:rPr>
        <w:t>yet another</w:t>
      </w:r>
      <w:r w:rsidR="000A54D4" w:rsidRPr="00AA64AE">
        <w:rPr>
          <w:lang w:val="en-GB"/>
        </w:rPr>
        <w:t xml:space="preserve"> </w:t>
      </w:r>
      <w:r w:rsidR="000A54D4" w:rsidRPr="00AA64AE">
        <w:rPr>
          <w:i/>
          <w:lang w:val="en-GB"/>
        </w:rPr>
        <w:t>Spijkers</w:t>
      </w:r>
      <w:r w:rsidR="00130F20" w:rsidRPr="00AA64AE">
        <w:rPr>
          <w:lang w:val="en-GB"/>
        </w:rPr>
        <w:t xml:space="preserve"> condition </w:t>
      </w:r>
      <w:r w:rsidR="00E244D1" w:rsidRPr="00AA64AE">
        <w:rPr>
          <w:lang w:val="en-GB"/>
        </w:rPr>
        <w:t>remains unfulfilled</w:t>
      </w:r>
      <w:r w:rsidR="00130F20" w:rsidRPr="00AA64AE">
        <w:rPr>
          <w:lang w:val="en-GB"/>
        </w:rPr>
        <w:t xml:space="preserve">. </w:t>
      </w:r>
      <w:r w:rsidR="0062003D" w:rsidRPr="00AA64AE">
        <w:rPr>
          <w:lang w:val="en-GB"/>
        </w:rPr>
        <w:t>Besides, those 5 waiters</w:t>
      </w:r>
      <w:r w:rsidR="00E244D1" w:rsidRPr="00AA64AE">
        <w:rPr>
          <w:lang w:val="en-GB"/>
        </w:rPr>
        <w:t xml:space="preserve"> constitute only a small part of former X’s workforce, which altogether consisted of 12 waiters, 2 cooks and 1 chef. The CJEU insists that in case of a transfer of employees who do not retain organisational autonomy with their new employer, “</w:t>
      </w:r>
      <w:r w:rsidR="00E244D1" w:rsidRPr="00AA64AE">
        <w:rPr>
          <w:i/>
          <w:lang w:val="en-GB"/>
        </w:rPr>
        <w:t>the functional link between the various elements of production</w:t>
      </w:r>
      <w:r w:rsidR="00E244D1" w:rsidRPr="00AA64AE">
        <w:rPr>
          <w:lang w:val="en-GB"/>
        </w:rPr>
        <w:t>” must be preserved</w:t>
      </w:r>
      <w:r w:rsidR="00E244D1" w:rsidRPr="00AA64AE">
        <w:rPr>
          <w:rStyle w:val="Voetnootmarkering"/>
          <w:lang w:val="en-GB"/>
        </w:rPr>
        <w:footnoteReference w:id="18"/>
      </w:r>
      <w:r w:rsidR="00E244D1" w:rsidRPr="00AA64AE">
        <w:rPr>
          <w:lang w:val="en-GB"/>
        </w:rPr>
        <w:t>. However</w:t>
      </w:r>
      <w:r w:rsidR="000858B7" w:rsidRPr="00AA64AE">
        <w:rPr>
          <w:lang w:val="en-GB"/>
        </w:rPr>
        <w:t>,</w:t>
      </w:r>
      <w:r w:rsidR="00E244D1" w:rsidRPr="00AA64AE">
        <w:rPr>
          <w:lang w:val="en-GB"/>
        </w:rPr>
        <w:t xml:space="preserve"> in case of potential reemployment of 5 waiters only, it is hard to say that the functional </w:t>
      </w:r>
      <w:r w:rsidR="000858B7" w:rsidRPr="00AA64AE">
        <w:rPr>
          <w:lang w:val="en-GB"/>
        </w:rPr>
        <w:t>link i</w:t>
      </w:r>
      <w:r w:rsidR="00E244D1" w:rsidRPr="00AA64AE">
        <w:rPr>
          <w:lang w:val="en-GB"/>
        </w:rPr>
        <w:t xml:space="preserve">s preserved, as no </w:t>
      </w:r>
      <w:r w:rsidR="007C3141">
        <w:rPr>
          <w:lang w:val="en-GB"/>
        </w:rPr>
        <w:t xml:space="preserve">X’s </w:t>
      </w:r>
      <w:r w:rsidR="00E244D1" w:rsidRPr="00AA64AE">
        <w:rPr>
          <w:lang w:val="en-GB"/>
        </w:rPr>
        <w:t xml:space="preserve">kitchen staff </w:t>
      </w:r>
      <w:r w:rsidR="007C3141">
        <w:rPr>
          <w:lang w:val="en-GB"/>
        </w:rPr>
        <w:t>were hired by</w:t>
      </w:r>
      <w:r w:rsidR="00E244D1" w:rsidRPr="00AA64AE">
        <w:rPr>
          <w:lang w:val="en-GB"/>
        </w:rPr>
        <w:t xml:space="preserve"> Y. </w:t>
      </w:r>
      <w:r w:rsidR="007E4ECE" w:rsidRPr="00AA64AE">
        <w:rPr>
          <w:lang w:val="en-GB"/>
        </w:rPr>
        <w:t>The kitchen</w:t>
      </w:r>
      <w:r w:rsidR="004C3BED">
        <w:rPr>
          <w:lang w:val="en-GB"/>
        </w:rPr>
        <w:t xml:space="preserve"> and its management (chef)</w:t>
      </w:r>
      <w:r w:rsidR="007E4ECE" w:rsidRPr="00AA64AE">
        <w:rPr>
          <w:lang w:val="en-GB"/>
        </w:rPr>
        <w:t xml:space="preserve"> is the core and heart of every restaurant</w:t>
      </w:r>
      <w:r w:rsidR="00BC676F" w:rsidRPr="00AA64AE">
        <w:rPr>
          <w:lang w:val="en-GB"/>
        </w:rPr>
        <w:t xml:space="preserve">. </w:t>
      </w:r>
      <w:r w:rsidR="007E4ECE" w:rsidRPr="00AA64AE">
        <w:rPr>
          <w:lang w:val="en-GB"/>
        </w:rPr>
        <w:t>Those 5 waiters will become</w:t>
      </w:r>
      <w:r w:rsidR="00BC676F" w:rsidRPr="00AA64AE">
        <w:rPr>
          <w:lang w:val="en-GB"/>
        </w:rPr>
        <w:t xml:space="preserve"> </w:t>
      </w:r>
      <w:r w:rsidR="00E244D1" w:rsidRPr="00AA64AE">
        <w:rPr>
          <w:lang w:val="en-GB"/>
        </w:rPr>
        <w:t>only a part of a big</w:t>
      </w:r>
      <w:r w:rsidR="007E4ECE" w:rsidRPr="00AA64AE">
        <w:rPr>
          <w:lang w:val="en-GB"/>
        </w:rPr>
        <w:t>ger</w:t>
      </w:r>
      <w:r w:rsidR="00E244D1" w:rsidRPr="00AA64AE">
        <w:rPr>
          <w:lang w:val="en-GB"/>
        </w:rPr>
        <w:t xml:space="preserve"> team</w:t>
      </w:r>
      <w:r w:rsidR="007E4ECE" w:rsidRPr="00AA64AE">
        <w:rPr>
          <w:lang w:val="en-GB"/>
        </w:rPr>
        <w:t xml:space="preserve">. They would not be </w:t>
      </w:r>
      <w:r w:rsidR="001D761B" w:rsidRPr="00AA64AE">
        <w:rPr>
          <w:lang w:val="en-GB"/>
        </w:rPr>
        <w:t>able to ensure functioning of</w:t>
      </w:r>
      <w:r w:rsidR="007E4ECE" w:rsidRPr="00AA64AE">
        <w:rPr>
          <w:lang w:val="en-GB"/>
        </w:rPr>
        <w:t xml:space="preserve"> a restaurant just on their own and do not form any kind of </w:t>
      </w:r>
      <w:r w:rsidR="00FD5ECE" w:rsidRPr="00AA64AE">
        <w:rPr>
          <w:lang w:val="en-GB"/>
        </w:rPr>
        <w:t xml:space="preserve">a </w:t>
      </w:r>
      <w:r w:rsidR="00D87594" w:rsidRPr="00AA64AE">
        <w:rPr>
          <w:lang w:val="en-GB"/>
        </w:rPr>
        <w:t xml:space="preserve">key unit of Y’s establishment. Therefore, potential re-employment of 5 waiters is of no importance to the existence of </w:t>
      </w:r>
      <w:r w:rsidR="00D87594" w:rsidRPr="00AA64AE">
        <w:rPr>
          <w:lang w:val="en-GB"/>
        </w:rPr>
        <w:lastRenderedPageBreak/>
        <w:t>transfer in this case.</w:t>
      </w:r>
      <w:r w:rsidR="00FD5ECE" w:rsidRPr="00AA64AE">
        <w:rPr>
          <w:lang w:val="en-GB"/>
        </w:rPr>
        <w:t xml:space="preserve"> This conclusion seems to be in line with the case-law provided by the Hungarian Supreme Court which insists that if the same real estate and assets are to be transferred to another entity, the same employees must be taken over as well by the successor in order for a transfer to take place</w:t>
      </w:r>
      <w:r w:rsidR="00FD5ECE" w:rsidRPr="00AA64AE">
        <w:rPr>
          <w:rFonts w:eastAsia="Times New Roman"/>
          <w:vertAlign w:val="superscript"/>
          <w:lang w:val="en-GB"/>
        </w:rPr>
        <w:footnoteReference w:id="19"/>
      </w:r>
      <w:r w:rsidR="00FD5ECE" w:rsidRPr="00AA64AE">
        <w:rPr>
          <w:lang w:val="en-GB"/>
        </w:rPr>
        <w:t>.</w:t>
      </w:r>
    </w:p>
    <w:p w14:paraId="77BE0FB5" w14:textId="77777777" w:rsidR="00130F20" w:rsidRPr="00AA64AE" w:rsidRDefault="00130F20" w:rsidP="00130F20">
      <w:pPr>
        <w:pStyle w:val="Lijstalinea"/>
        <w:spacing w:line="360" w:lineRule="auto"/>
        <w:jc w:val="both"/>
        <w:rPr>
          <w:b/>
          <w:lang w:val="en-GB"/>
        </w:rPr>
      </w:pPr>
    </w:p>
    <w:p w14:paraId="623D1399" w14:textId="392EFFDF" w:rsidR="00130F20" w:rsidRPr="00AA64AE" w:rsidRDefault="00130F20" w:rsidP="0034271F">
      <w:pPr>
        <w:pStyle w:val="Kop5"/>
      </w:pPr>
      <w:r w:rsidRPr="00AA64AE">
        <w:t>There was no transfer of customers</w:t>
      </w:r>
    </w:p>
    <w:p w14:paraId="66364022" w14:textId="77777777" w:rsidR="00130F20" w:rsidRPr="00AA64AE" w:rsidRDefault="00130F20" w:rsidP="00130F20">
      <w:pPr>
        <w:pStyle w:val="Lijstalinea"/>
        <w:spacing w:line="360" w:lineRule="auto"/>
        <w:ind w:left="1080"/>
        <w:jc w:val="both"/>
        <w:rPr>
          <w:b/>
          <w:lang w:val="en-GB"/>
        </w:rPr>
      </w:pPr>
    </w:p>
    <w:p w14:paraId="5DAA01AC" w14:textId="72BDC242" w:rsidR="00130F20" w:rsidRPr="00AA64AE" w:rsidRDefault="006548C3" w:rsidP="004D7F5D">
      <w:pPr>
        <w:pStyle w:val="Lijstalinea"/>
        <w:spacing w:line="360" w:lineRule="auto"/>
        <w:jc w:val="both"/>
        <w:rPr>
          <w:lang w:val="en-GB"/>
        </w:rPr>
      </w:pPr>
      <w:r w:rsidRPr="00AA64AE">
        <w:rPr>
          <w:lang w:val="en-GB"/>
        </w:rPr>
        <w:t xml:space="preserve">Another </w:t>
      </w:r>
      <w:r w:rsidRPr="00AA64AE">
        <w:rPr>
          <w:i/>
          <w:lang w:val="en-GB"/>
        </w:rPr>
        <w:t>Spijkers</w:t>
      </w:r>
      <w:r w:rsidRPr="00AA64AE">
        <w:rPr>
          <w:lang w:val="en-GB"/>
        </w:rPr>
        <w:t xml:space="preserve"> criteria is</w:t>
      </w:r>
      <w:r w:rsidR="009D6625" w:rsidRPr="00AA64AE">
        <w:rPr>
          <w:lang w:val="en-GB"/>
        </w:rPr>
        <w:t xml:space="preserve"> also</w:t>
      </w:r>
      <w:r w:rsidRPr="00AA64AE">
        <w:rPr>
          <w:lang w:val="en-GB"/>
        </w:rPr>
        <w:t xml:space="preserve"> not fulfilled in this case, as Y did not acquire from X any “</w:t>
      </w:r>
      <w:r w:rsidRPr="00AA64AE">
        <w:rPr>
          <w:i/>
          <w:lang w:val="en-GB"/>
        </w:rPr>
        <w:t>lists of suppliers and of customers</w:t>
      </w:r>
      <w:r w:rsidRPr="00AA64AE">
        <w:rPr>
          <w:lang w:val="en-GB"/>
        </w:rPr>
        <w:t>”</w:t>
      </w:r>
      <w:r w:rsidRPr="00AA64AE">
        <w:rPr>
          <w:rStyle w:val="Voetnootmarkering"/>
          <w:lang w:val="en-GB"/>
        </w:rPr>
        <w:footnoteReference w:id="20"/>
      </w:r>
      <w:r w:rsidRPr="00AA64AE">
        <w:rPr>
          <w:lang w:val="en-GB"/>
        </w:rPr>
        <w:t>. Neither is there a proof that Y was “</w:t>
      </w:r>
      <w:r w:rsidRPr="00AA64AE">
        <w:rPr>
          <w:i/>
          <w:lang w:val="en-GB"/>
        </w:rPr>
        <w:t>recommended to customers</w:t>
      </w:r>
      <w:r w:rsidRPr="00AA64AE">
        <w:rPr>
          <w:lang w:val="en-GB"/>
        </w:rPr>
        <w:t>” by X</w:t>
      </w:r>
      <w:r w:rsidR="00A67D7B" w:rsidRPr="00AA64AE">
        <w:rPr>
          <w:lang w:val="en-GB"/>
        </w:rPr>
        <w:t xml:space="preserve"> or took over “</w:t>
      </w:r>
      <w:r w:rsidR="00A67D7B" w:rsidRPr="00AA64AE">
        <w:rPr>
          <w:i/>
          <w:lang w:val="en-GB"/>
        </w:rPr>
        <w:t>the existing contracts with customers</w:t>
      </w:r>
      <w:r w:rsidR="00A67D7B" w:rsidRPr="00AA64AE">
        <w:rPr>
          <w:lang w:val="en-GB"/>
        </w:rPr>
        <w:t>”</w:t>
      </w:r>
      <w:r w:rsidR="009E340C">
        <w:rPr>
          <w:lang w:val="en-GB"/>
        </w:rPr>
        <w:t xml:space="preserve"> or suppliers</w:t>
      </w:r>
      <w:r w:rsidRPr="00AA64AE">
        <w:rPr>
          <w:rStyle w:val="Voetnootmarkering"/>
          <w:lang w:val="en-GB"/>
        </w:rPr>
        <w:footnoteReference w:id="21"/>
      </w:r>
      <w:r w:rsidR="00A67D7B" w:rsidRPr="00AA64AE">
        <w:rPr>
          <w:vertAlign w:val="superscript"/>
          <w:lang w:val="en-GB"/>
        </w:rPr>
        <w:t>,</w:t>
      </w:r>
      <w:r w:rsidR="00A67D7B" w:rsidRPr="00AA64AE">
        <w:rPr>
          <w:rStyle w:val="Voetnootmarkering"/>
          <w:lang w:val="en-GB"/>
        </w:rPr>
        <w:footnoteReference w:id="22"/>
      </w:r>
      <w:r w:rsidR="00A67D7B" w:rsidRPr="00AA64AE">
        <w:rPr>
          <w:lang w:val="en-GB"/>
        </w:rPr>
        <w:t>.</w:t>
      </w:r>
      <w:r w:rsidR="004D7F5D" w:rsidRPr="00AA64AE">
        <w:rPr>
          <w:lang w:val="en-GB"/>
        </w:rPr>
        <w:t xml:space="preserve"> </w:t>
      </w:r>
      <w:r w:rsidR="00381080" w:rsidRPr="00AA64AE">
        <w:rPr>
          <w:lang w:val="en-GB"/>
        </w:rPr>
        <w:t>Actually, i</w:t>
      </w:r>
      <w:r w:rsidR="004D7F5D" w:rsidRPr="00AA64AE">
        <w:rPr>
          <w:lang w:val="en-GB"/>
        </w:rPr>
        <w:t xml:space="preserve">t would be rather hard </w:t>
      </w:r>
      <w:r w:rsidR="00130F20" w:rsidRPr="00AA64AE">
        <w:rPr>
          <w:lang w:val="en-GB"/>
        </w:rPr>
        <w:t>to imagine any transfer of customers</w:t>
      </w:r>
      <w:r w:rsidR="009E340C">
        <w:rPr>
          <w:lang w:val="en-GB"/>
        </w:rPr>
        <w:t xml:space="preserve"> or suppliers</w:t>
      </w:r>
      <w:r w:rsidR="00130F20" w:rsidRPr="00AA64AE">
        <w:rPr>
          <w:lang w:val="en-GB"/>
        </w:rPr>
        <w:t>, as an exclusive Italian restaurant has nothing to do with quick snacks in a casual dining room for office workers. Obviously, X’s customers will find another dining room offering snacks nearby rather than have an exquisite Italian dinner for lunch every day.</w:t>
      </w:r>
      <w:r w:rsidR="00544C24">
        <w:rPr>
          <w:lang w:val="en-GB"/>
        </w:rPr>
        <w:t xml:space="preserve"> </w:t>
      </w:r>
      <w:r w:rsidR="009B06F4">
        <w:rPr>
          <w:lang w:val="en-GB"/>
        </w:rPr>
        <w:t xml:space="preserve">This point proves additionally the lack of similarity between services provided by X before the termination of the lease agreement and </w:t>
      </w:r>
      <w:r w:rsidR="0035152D">
        <w:rPr>
          <w:lang w:val="en-GB"/>
        </w:rPr>
        <w:t>services</w:t>
      </w:r>
      <w:r w:rsidR="009B06F4">
        <w:rPr>
          <w:lang w:val="en-GB"/>
        </w:rPr>
        <w:t xml:space="preserve"> provided by Y after conclu</w:t>
      </w:r>
      <w:r w:rsidR="000E28C7">
        <w:rPr>
          <w:lang w:val="en-GB"/>
        </w:rPr>
        <w:t>sion of</w:t>
      </w:r>
      <w:r w:rsidR="009B06F4">
        <w:rPr>
          <w:lang w:val="en-GB"/>
        </w:rPr>
        <w:t xml:space="preserve"> the lease agreement.</w:t>
      </w:r>
    </w:p>
    <w:p w14:paraId="6E8BC8D2" w14:textId="77777777" w:rsidR="00130F20" w:rsidRPr="00AA64AE" w:rsidRDefault="00130F20" w:rsidP="00130F20">
      <w:pPr>
        <w:pStyle w:val="Lijstalinea"/>
        <w:spacing w:line="360" w:lineRule="auto"/>
        <w:jc w:val="both"/>
        <w:rPr>
          <w:b/>
          <w:lang w:val="en-GB"/>
        </w:rPr>
      </w:pPr>
    </w:p>
    <w:p w14:paraId="3ED3EB85" w14:textId="339EF7F6" w:rsidR="00130F20" w:rsidRPr="00AA64AE" w:rsidRDefault="00130F20" w:rsidP="0034271F">
      <w:pPr>
        <w:pStyle w:val="Kop5"/>
      </w:pPr>
      <w:r w:rsidRPr="00AA64AE">
        <w:t>There is a significant period during which all activities are suspended</w:t>
      </w:r>
    </w:p>
    <w:p w14:paraId="0712C899" w14:textId="62FF273B" w:rsidR="00130F20" w:rsidRPr="00AA64AE" w:rsidRDefault="00130F20" w:rsidP="00130F20">
      <w:pPr>
        <w:pStyle w:val="Lijstalinea"/>
        <w:spacing w:line="360" w:lineRule="auto"/>
        <w:ind w:left="1080"/>
        <w:jc w:val="both"/>
        <w:rPr>
          <w:b/>
          <w:lang w:val="en-GB"/>
        </w:rPr>
      </w:pPr>
      <w:r w:rsidRPr="00AA64AE">
        <w:rPr>
          <w:b/>
          <w:lang w:val="en-GB"/>
        </w:rPr>
        <w:t xml:space="preserve"> </w:t>
      </w:r>
    </w:p>
    <w:p w14:paraId="5B36A9F2" w14:textId="7DF92A8A" w:rsidR="00B77258" w:rsidRDefault="00291086" w:rsidP="00DC03A7">
      <w:pPr>
        <w:pStyle w:val="Lijstalinea"/>
        <w:spacing w:line="360" w:lineRule="auto"/>
        <w:jc w:val="both"/>
        <w:rPr>
          <w:lang w:val="en-GB"/>
        </w:rPr>
      </w:pPr>
      <w:r w:rsidRPr="00AA64AE">
        <w:rPr>
          <w:lang w:val="en-GB"/>
        </w:rPr>
        <w:t>There is a significant p</w:t>
      </w:r>
      <w:r w:rsidR="007C497B">
        <w:rPr>
          <w:lang w:val="en-GB"/>
        </w:rPr>
        <w:t>eriod for which all activities we</w:t>
      </w:r>
      <w:r w:rsidRPr="00AA64AE">
        <w:rPr>
          <w:lang w:val="en-GB"/>
        </w:rPr>
        <w:t>re suspended</w:t>
      </w:r>
      <w:r w:rsidR="007C497B">
        <w:rPr>
          <w:lang w:val="en-GB"/>
        </w:rPr>
        <w:t xml:space="preserve"> (no dining room or restaurant was in operation)</w:t>
      </w:r>
      <w:r w:rsidRPr="00AA64AE">
        <w:rPr>
          <w:lang w:val="en-GB"/>
        </w:rPr>
        <w:t xml:space="preserve">. Even though the CJEU has ruled that such a suspension does not automatically eliminate the possibility of a transfer, the period for which activities are frozen must </w:t>
      </w:r>
      <w:r w:rsidR="00EA1ABB" w:rsidRPr="00AA64AE">
        <w:rPr>
          <w:lang w:val="en-GB"/>
        </w:rPr>
        <w:t>not be too long</w:t>
      </w:r>
      <w:r w:rsidRPr="00AA64AE">
        <w:rPr>
          <w:lang w:val="en-GB"/>
        </w:rPr>
        <w:t xml:space="preserve"> - the case-law provides an example of a</w:t>
      </w:r>
      <w:r w:rsidR="009E767B" w:rsidRPr="00AA64AE">
        <w:rPr>
          <w:lang w:val="en-GB"/>
        </w:rPr>
        <w:t xml:space="preserve"> “</w:t>
      </w:r>
      <w:r w:rsidR="009E767B" w:rsidRPr="00AA64AE">
        <w:rPr>
          <w:b/>
          <w:i/>
          <w:lang w:val="en-GB"/>
        </w:rPr>
        <w:t>short period</w:t>
      </w:r>
      <w:r w:rsidR="009E767B" w:rsidRPr="00AA64AE">
        <w:rPr>
          <w:lang w:val="en-GB"/>
        </w:rPr>
        <w:t>”, namely a</w:t>
      </w:r>
      <w:r w:rsidRPr="00AA64AE">
        <w:rPr>
          <w:lang w:val="en-GB"/>
        </w:rPr>
        <w:t xml:space="preserve"> two-week-long break</w:t>
      </w:r>
      <w:r w:rsidR="00AF6A87">
        <w:rPr>
          <w:lang w:val="en-GB"/>
        </w:rPr>
        <w:t xml:space="preserve">, which </w:t>
      </w:r>
      <w:r w:rsidR="00AF6A87" w:rsidRPr="00BD0C50">
        <w:rPr>
          <w:lang w:val="en-GB"/>
        </w:rPr>
        <w:t>coincided</w:t>
      </w:r>
      <w:r w:rsidR="00AF6A87">
        <w:rPr>
          <w:lang w:val="en-GB"/>
        </w:rPr>
        <w:t xml:space="preserve"> </w:t>
      </w:r>
      <w:r w:rsidR="00AF6A87" w:rsidRPr="00BD0C50">
        <w:rPr>
          <w:lang w:val="en-GB"/>
        </w:rPr>
        <w:t>with the Christmas and New</w:t>
      </w:r>
      <w:r w:rsidR="00AF6A87">
        <w:rPr>
          <w:lang w:val="en-GB"/>
        </w:rPr>
        <w:t xml:space="preserve"> Year holidays</w:t>
      </w:r>
      <w:r w:rsidRPr="00AA64AE">
        <w:rPr>
          <w:rFonts w:eastAsia="Times New Roman"/>
          <w:vertAlign w:val="superscript"/>
          <w:lang w:val="en-GB"/>
        </w:rPr>
        <w:footnoteReference w:id="23"/>
      </w:r>
      <w:r w:rsidRPr="00AA64AE">
        <w:rPr>
          <w:lang w:val="en-GB"/>
        </w:rPr>
        <w:t xml:space="preserve">. Meanwhile, the facts of this case indicate a 4-month-long suspension of activities (between 1.12.2015 and 2.4.2016) which seems to be far too much when </w:t>
      </w:r>
      <w:r w:rsidRPr="00AA64AE">
        <w:rPr>
          <w:lang w:val="en-GB"/>
        </w:rPr>
        <w:lastRenderedPageBreak/>
        <w:t>compared to</w:t>
      </w:r>
      <w:r w:rsidR="00AF6A87">
        <w:rPr>
          <w:lang w:val="en-GB"/>
        </w:rPr>
        <w:t xml:space="preserve"> a</w:t>
      </w:r>
      <w:r w:rsidRPr="00AA64AE">
        <w:rPr>
          <w:lang w:val="en-GB"/>
        </w:rPr>
        <w:t xml:space="preserve"> 2 weeks</w:t>
      </w:r>
      <w:r w:rsidR="00AF6A87">
        <w:rPr>
          <w:lang w:val="en-GB"/>
        </w:rPr>
        <w:t>’ Christmas break</w:t>
      </w:r>
      <w:r w:rsidRPr="00AA64AE">
        <w:rPr>
          <w:lang w:val="en-GB"/>
        </w:rPr>
        <w:t>.</w:t>
      </w:r>
      <w:r w:rsidR="00DF3229" w:rsidRPr="00AA64AE">
        <w:rPr>
          <w:lang w:val="en-GB"/>
        </w:rPr>
        <w:t xml:space="preserve"> Besides, any longer break in operation may only be justified in case of a </w:t>
      </w:r>
      <w:r w:rsidR="00711BCF" w:rsidRPr="00AA64AE">
        <w:rPr>
          <w:lang w:val="en-GB"/>
        </w:rPr>
        <w:t xml:space="preserve">seasonal business </w:t>
      </w:r>
      <w:r w:rsidR="00906D4B" w:rsidRPr="00AA64AE">
        <w:rPr>
          <w:lang w:val="en-GB"/>
        </w:rPr>
        <w:t>“</w:t>
      </w:r>
      <w:r w:rsidR="00906D4B" w:rsidRPr="00AA64AE">
        <w:rPr>
          <w:i/>
          <w:lang w:val="en-GB"/>
        </w:rPr>
        <w:t>regularly closed for part of the year</w:t>
      </w:r>
      <w:r w:rsidR="00906D4B" w:rsidRPr="00AA64AE">
        <w:rPr>
          <w:lang w:val="en-GB"/>
        </w:rPr>
        <w:t>”</w:t>
      </w:r>
      <w:r w:rsidR="00DF3229" w:rsidRPr="00AA64AE">
        <w:rPr>
          <w:lang w:val="en-GB"/>
        </w:rPr>
        <w:t>, where transfer may take place during the season when the undertaking is closed</w:t>
      </w:r>
      <w:r w:rsidR="008F51FB" w:rsidRPr="00AA64AE">
        <w:rPr>
          <w:rStyle w:val="Voetnootmarkering"/>
          <w:lang w:val="en-GB"/>
        </w:rPr>
        <w:footnoteReference w:id="24"/>
      </w:r>
      <w:r w:rsidR="00DF3229" w:rsidRPr="00AA64AE">
        <w:rPr>
          <w:lang w:val="en-GB"/>
        </w:rPr>
        <w:t>. This is also not in line with the facts of the case, as neither X’s dining room, nor Y’s Italian bar and restaurant operate on a seasonal basis</w:t>
      </w:r>
      <w:r w:rsidR="004F3ED7" w:rsidRPr="00AA64AE">
        <w:rPr>
          <w:lang w:val="en-GB"/>
        </w:rPr>
        <w:t>, typical for a seaside or mountain inn</w:t>
      </w:r>
      <w:r w:rsidR="00DF3229" w:rsidRPr="00AA64AE">
        <w:rPr>
          <w:lang w:val="en-GB"/>
        </w:rPr>
        <w:t xml:space="preserve">. Quite contrary, they are </w:t>
      </w:r>
      <w:r w:rsidR="004F3ED7" w:rsidRPr="00AA64AE">
        <w:rPr>
          <w:lang w:val="en-GB"/>
        </w:rPr>
        <w:t xml:space="preserve">located in Budapest, so </w:t>
      </w:r>
      <w:r w:rsidR="00DF3229" w:rsidRPr="00AA64AE">
        <w:rPr>
          <w:lang w:val="en-GB"/>
        </w:rPr>
        <w:t xml:space="preserve">the demand for work is not dependent on any seasonal variations </w:t>
      </w:r>
      <w:r w:rsidR="004F3ED7" w:rsidRPr="00AA64AE">
        <w:rPr>
          <w:lang w:val="en-GB"/>
        </w:rPr>
        <w:t>and they remain open throughout the whole calendar year</w:t>
      </w:r>
      <w:r w:rsidR="00DF3229" w:rsidRPr="00AA64AE">
        <w:rPr>
          <w:lang w:val="en-GB"/>
        </w:rPr>
        <w:t xml:space="preserve">. </w:t>
      </w:r>
      <w:r w:rsidR="00E75FCD" w:rsidRPr="00AA64AE">
        <w:rPr>
          <w:lang w:val="en-GB"/>
        </w:rPr>
        <w:t xml:space="preserve">A long break in operation was necessary due to a serious renovation which </w:t>
      </w:r>
      <w:r w:rsidR="00AF6A87">
        <w:rPr>
          <w:lang w:val="en-GB"/>
        </w:rPr>
        <w:t xml:space="preserve">had to </w:t>
      </w:r>
      <w:r w:rsidR="00E75FCD" w:rsidRPr="00AA64AE">
        <w:rPr>
          <w:lang w:val="en-GB"/>
        </w:rPr>
        <w:t>be made in order to adapt the premise</w:t>
      </w:r>
      <w:r w:rsidR="00AF6A87">
        <w:rPr>
          <w:lang w:val="en-GB"/>
        </w:rPr>
        <w:t>s to the activity that Y intended</w:t>
      </w:r>
      <w:r w:rsidR="00E75FCD" w:rsidRPr="00AA64AE">
        <w:rPr>
          <w:lang w:val="en-GB"/>
        </w:rPr>
        <w:t xml:space="preserve"> to carry out.</w:t>
      </w:r>
      <w:r w:rsidR="00AF6A87">
        <w:rPr>
          <w:lang w:val="en-GB"/>
        </w:rPr>
        <w:t xml:space="preserve"> In the circumstances of this case, the </w:t>
      </w:r>
      <w:r w:rsidR="00AF6A87" w:rsidRPr="00BD0C50">
        <w:rPr>
          <w:lang w:val="en-GB"/>
        </w:rPr>
        <w:t xml:space="preserve">closure </w:t>
      </w:r>
      <w:r w:rsidR="00AF6A87">
        <w:rPr>
          <w:lang w:val="en-GB"/>
        </w:rPr>
        <w:t xml:space="preserve">of the X’s dining room and opening of the Y’s restaurant after a 4-month-long break prove </w:t>
      </w:r>
      <w:r w:rsidR="00AF6A87" w:rsidRPr="00BD0C50">
        <w:rPr>
          <w:lang w:val="en-GB"/>
        </w:rPr>
        <w:t>that the undertaking</w:t>
      </w:r>
      <w:r w:rsidR="00AF6A87">
        <w:rPr>
          <w:lang w:val="en-GB"/>
        </w:rPr>
        <w:t xml:space="preserve"> (even if the Court will be able to identify the undertaking that could be transferred), c</w:t>
      </w:r>
      <w:r w:rsidR="00AF6A87" w:rsidRPr="00BD0C50">
        <w:rPr>
          <w:lang w:val="en-GB"/>
        </w:rPr>
        <w:t>eased to be a going</w:t>
      </w:r>
      <w:r w:rsidR="00AF6A87">
        <w:rPr>
          <w:lang w:val="en-GB"/>
        </w:rPr>
        <w:t xml:space="preserve"> concern.</w:t>
      </w:r>
    </w:p>
    <w:p w14:paraId="5AE1F222" w14:textId="70336BA2" w:rsidR="00DC03A7" w:rsidRPr="00DC03A7" w:rsidRDefault="00DC03A7" w:rsidP="00DC03A7">
      <w:pPr>
        <w:pStyle w:val="Lijstalinea"/>
        <w:spacing w:line="360" w:lineRule="auto"/>
        <w:jc w:val="both"/>
        <w:rPr>
          <w:lang w:val="en-GB"/>
        </w:rPr>
      </w:pPr>
      <w:r>
        <w:rPr>
          <w:lang w:val="en-GB"/>
        </w:rPr>
        <w:t xml:space="preserve">So far, the longest break in operation which did not prevent the transfer of </w:t>
      </w:r>
      <w:r w:rsidR="00BF38D0">
        <w:rPr>
          <w:lang w:val="en-GB"/>
        </w:rPr>
        <w:t>enterprise</w:t>
      </w:r>
      <w:r>
        <w:rPr>
          <w:lang w:val="en-GB"/>
        </w:rPr>
        <w:t xml:space="preserve"> </w:t>
      </w:r>
      <w:r w:rsidR="00620054">
        <w:rPr>
          <w:lang w:val="en-GB"/>
        </w:rPr>
        <w:t>from taking</w:t>
      </w:r>
      <w:r>
        <w:rPr>
          <w:lang w:val="en-GB"/>
        </w:rPr>
        <w:t xml:space="preserve"> place was 2,5 months (between 19</w:t>
      </w:r>
      <w:r w:rsidR="00622026">
        <w:rPr>
          <w:lang w:val="en-GB"/>
        </w:rPr>
        <w:t>.02. and 01.05.</w:t>
      </w:r>
      <w:r>
        <w:rPr>
          <w:lang w:val="en-GB"/>
        </w:rPr>
        <w:t xml:space="preserve">). However, in that case, the transferee was the </w:t>
      </w:r>
      <w:r w:rsidR="00622026">
        <w:rPr>
          <w:lang w:val="en-GB"/>
        </w:rPr>
        <w:t xml:space="preserve">transferor’s </w:t>
      </w:r>
      <w:r>
        <w:rPr>
          <w:lang w:val="en-GB"/>
        </w:rPr>
        <w:t>mai</w:t>
      </w:r>
      <w:r w:rsidR="00620054">
        <w:rPr>
          <w:lang w:val="en-GB"/>
        </w:rPr>
        <w:t xml:space="preserve">n shareholder </w:t>
      </w:r>
      <w:r>
        <w:rPr>
          <w:lang w:val="en-GB"/>
        </w:rPr>
        <w:t xml:space="preserve">and majority of </w:t>
      </w:r>
      <w:r w:rsidRPr="00DC03A7">
        <w:rPr>
          <w:i/>
          <w:lang w:val="en-GB"/>
        </w:rPr>
        <w:t>Spijkers</w:t>
      </w:r>
      <w:r>
        <w:rPr>
          <w:lang w:val="en-GB"/>
        </w:rPr>
        <w:t xml:space="preserve"> criteria were met: the type of undertaking was the same (an airline), the activities were </w:t>
      </w:r>
      <w:r w:rsidR="009E34C3">
        <w:rPr>
          <w:lang w:val="en-GB"/>
        </w:rPr>
        <w:t>the same (operation of flights, the same routes), significant part of transferor’s assets were used (including 4 aeroplanes) and a number of employees were taken over</w:t>
      </w:r>
      <w:r w:rsidR="009E34C3">
        <w:rPr>
          <w:rStyle w:val="Voetnootmarkering"/>
          <w:lang w:val="en-GB"/>
        </w:rPr>
        <w:footnoteReference w:id="25"/>
      </w:r>
      <w:r w:rsidR="009E34C3">
        <w:rPr>
          <w:lang w:val="en-GB"/>
        </w:rPr>
        <w:t>.</w:t>
      </w:r>
      <w:r w:rsidR="00620054">
        <w:rPr>
          <w:lang w:val="en-GB"/>
        </w:rPr>
        <w:t xml:space="preserve"> Therefore, Defendant Y would like to emphasise that this </w:t>
      </w:r>
      <w:r w:rsidR="008863B6">
        <w:rPr>
          <w:lang w:val="en-GB"/>
        </w:rPr>
        <w:t>judgment is of no importance for this case.</w:t>
      </w:r>
    </w:p>
    <w:p w14:paraId="07EB2362" w14:textId="77777777" w:rsidR="001347DC" w:rsidRPr="00AA64AE" w:rsidRDefault="001347DC" w:rsidP="00DF3229">
      <w:pPr>
        <w:pStyle w:val="Lijstalinea"/>
        <w:spacing w:line="360" w:lineRule="auto"/>
        <w:jc w:val="both"/>
        <w:rPr>
          <w:lang w:val="en-GB"/>
        </w:rPr>
      </w:pPr>
    </w:p>
    <w:p w14:paraId="62B922FE" w14:textId="74D25AF5" w:rsidR="001347DC" w:rsidRPr="00AA64AE" w:rsidRDefault="001347DC" w:rsidP="0034271F">
      <w:pPr>
        <w:pStyle w:val="Kop5"/>
      </w:pPr>
      <w:r w:rsidRPr="00AA64AE">
        <w:t xml:space="preserve">No effective employment relationship can be established between </w:t>
      </w:r>
      <w:r w:rsidR="00F068F0" w:rsidRPr="00AA64AE">
        <w:t>x</w:t>
      </w:r>
      <w:r w:rsidR="00765BB7" w:rsidRPr="00AA64AE">
        <w:t>’s employees</w:t>
      </w:r>
      <w:r w:rsidR="00570A29" w:rsidRPr="00AA64AE">
        <w:t xml:space="preserve"> and </w:t>
      </w:r>
      <w:r w:rsidR="00F068F0" w:rsidRPr="00AA64AE">
        <w:t>y</w:t>
      </w:r>
      <w:r w:rsidR="009E340C">
        <w:t xml:space="preserve"> before 2.04.2016</w:t>
      </w:r>
    </w:p>
    <w:p w14:paraId="07C894DE" w14:textId="77777777" w:rsidR="00570A29" w:rsidRPr="00AA64AE" w:rsidRDefault="00570A29" w:rsidP="00570A29">
      <w:pPr>
        <w:pStyle w:val="Lijstalinea"/>
        <w:spacing w:line="360" w:lineRule="auto"/>
        <w:jc w:val="both"/>
        <w:rPr>
          <w:lang w:val="en-GB"/>
        </w:rPr>
      </w:pPr>
    </w:p>
    <w:p w14:paraId="48EE2486" w14:textId="5CF4201B" w:rsidR="00291086" w:rsidRPr="00B939EB" w:rsidRDefault="00054D89" w:rsidP="00B939EB">
      <w:pPr>
        <w:pStyle w:val="Lijstalinea"/>
        <w:spacing w:line="360" w:lineRule="auto"/>
        <w:jc w:val="both"/>
        <w:rPr>
          <w:lang w:val="en-GB"/>
        </w:rPr>
      </w:pPr>
      <w:r>
        <w:rPr>
          <w:lang w:val="en-GB"/>
        </w:rPr>
        <w:t>Furthermore, c</w:t>
      </w:r>
      <w:r w:rsidR="00570A29" w:rsidRPr="00AA64AE">
        <w:rPr>
          <w:lang w:val="en-GB"/>
        </w:rPr>
        <w:t xml:space="preserve">onsidering the significant period during which </w:t>
      </w:r>
      <w:r w:rsidR="004A7607" w:rsidRPr="00AA64AE">
        <w:rPr>
          <w:lang w:val="en-GB"/>
        </w:rPr>
        <w:t>all activities are suspended, it is impossible to</w:t>
      </w:r>
      <w:r w:rsidR="00AF6A87">
        <w:rPr>
          <w:lang w:val="en-GB"/>
        </w:rPr>
        <w:t xml:space="preserve"> have an employment relationships between X’s staff and Y</w:t>
      </w:r>
      <w:r w:rsidR="004A7607" w:rsidRPr="00AA64AE">
        <w:rPr>
          <w:lang w:val="en-GB"/>
        </w:rPr>
        <w:t xml:space="preserve"> in such circumstances. According to the International Labour Organisation, determination of the existence of an employment relationship “</w:t>
      </w:r>
      <w:r w:rsidR="004A7607" w:rsidRPr="00AA64AE">
        <w:rPr>
          <w:i/>
          <w:lang w:val="en-GB"/>
        </w:rPr>
        <w:t xml:space="preserve">should be guided primarily by the facts relating to </w:t>
      </w:r>
      <w:r w:rsidR="004A7607" w:rsidRPr="00AA64AE">
        <w:rPr>
          <w:b/>
          <w:i/>
          <w:lang w:val="en-GB"/>
        </w:rPr>
        <w:t>the performance of work</w:t>
      </w:r>
      <w:r w:rsidR="004A7607" w:rsidRPr="00AA64AE">
        <w:rPr>
          <w:i/>
          <w:lang w:val="en-GB"/>
        </w:rPr>
        <w:t xml:space="preserve"> and the remuneration of the worker</w:t>
      </w:r>
      <w:r w:rsidR="004A7607" w:rsidRPr="00AA64AE">
        <w:rPr>
          <w:lang w:val="en-GB"/>
        </w:rPr>
        <w:t>”.</w:t>
      </w:r>
      <w:r w:rsidR="000356B1" w:rsidRPr="00AA64AE">
        <w:rPr>
          <w:lang w:val="en-GB"/>
        </w:rPr>
        <w:t xml:space="preserve"> The most important conditions are that such work is carried out personally by </w:t>
      </w:r>
      <w:r w:rsidR="000356B1" w:rsidRPr="00AA64AE">
        <w:rPr>
          <w:lang w:val="en-GB"/>
        </w:rPr>
        <w:lastRenderedPageBreak/>
        <w:t>the employee, according to the instructions and under control of the employer, solely or mainly for employer’s benefit, within specific working hours and at a specific workplace</w:t>
      </w:r>
      <w:r w:rsidR="000356B1" w:rsidRPr="00AA64AE">
        <w:rPr>
          <w:rStyle w:val="Voetnootmarkering"/>
          <w:lang w:val="en-GB"/>
        </w:rPr>
        <w:footnoteReference w:id="26"/>
      </w:r>
      <w:r w:rsidR="000356B1" w:rsidRPr="00AA64AE">
        <w:rPr>
          <w:lang w:val="en-GB"/>
        </w:rPr>
        <w:t>.</w:t>
      </w:r>
      <w:r w:rsidR="00A84899">
        <w:rPr>
          <w:lang w:val="en-GB"/>
        </w:rPr>
        <w:t xml:space="preserve"> Also, the Hungarian Labour Code (Section 42 pt. 2) provides that under an employment contract the “</w:t>
      </w:r>
      <w:r w:rsidR="00A84899" w:rsidRPr="00A84899">
        <w:rPr>
          <w:i/>
          <w:lang w:val="en-GB"/>
        </w:rPr>
        <w:t xml:space="preserve">employee is </w:t>
      </w:r>
      <w:r w:rsidR="00A84899" w:rsidRPr="00A84899">
        <w:rPr>
          <w:b/>
          <w:i/>
          <w:lang w:val="en-GB"/>
        </w:rPr>
        <w:t>required to work</w:t>
      </w:r>
      <w:r w:rsidR="00A84899" w:rsidRPr="00A84899">
        <w:rPr>
          <w:i/>
          <w:lang w:val="en-GB"/>
        </w:rPr>
        <w:t xml:space="preserve"> as instructed by the employer</w:t>
      </w:r>
      <w:r w:rsidR="00A84899">
        <w:rPr>
          <w:lang w:val="en-GB"/>
        </w:rPr>
        <w:t>”, while the “</w:t>
      </w:r>
      <w:r w:rsidR="00A84899" w:rsidRPr="00A84899">
        <w:rPr>
          <w:i/>
          <w:lang w:val="en-GB"/>
        </w:rPr>
        <w:t xml:space="preserve">employer is </w:t>
      </w:r>
      <w:r w:rsidR="00A84899" w:rsidRPr="00A84899">
        <w:rPr>
          <w:b/>
          <w:i/>
          <w:lang w:val="en-GB"/>
        </w:rPr>
        <w:t>required to provide work</w:t>
      </w:r>
      <w:r w:rsidR="00A84899" w:rsidRPr="00A84899">
        <w:rPr>
          <w:i/>
          <w:lang w:val="en-GB"/>
        </w:rPr>
        <w:t xml:space="preserve"> for the employee and to pay wages</w:t>
      </w:r>
      <w:r w:rsidR="00A84899">
        <w:rPr>
          <w:lang w:val="en-GB"/>
        </w:rPr>
        <w:t>”.</w:t>
      </w:r>
      <w:r w:rsidR="000356B1" w:rsidRPr="00AA64AE">
        <w:rPr>
          <w:lang w:val="en-GB"/>
        </w:rPr>
        <w:t xml:space="preserve"> In this case though, if we were to presume that there was a transfer of undertaking, that would mean that at least for </w:t>
      </w:r>
      <w:r w:rsidR="000F4427" w:rsidRPr="00AA64AE">
        <w:rPr>
          <w:lang w:val="en-GB"/>
        </w:rPr>
        <w:t xml:space="preserve">almost </w:t>
      </w:r>
      <w:r w:rsidR="000356B1" w:rsidRPr="00AA64AE">
        <w:rPr>
          <w:lang w:val="en-GB"/>
        </w:rPr>
        <w:t>one third of the year – between January and April</w:t>
      </w:r>
      <w:r w:rsidR="00EF522D">
        <w:rPr>
          <w:lang w:val="en-GB"/>
        </w:rPr>
        <w:t xml:space="preserve"> 2016</w:t>
      </w:r>
      <w:r w:rsidR="000356B1" w:rsidRPr="00AA64AE">
        <w:rPr>
          <w:lang w:val="en-GB"/>
        </w:rPr>
        <w:t xml:space="preserve">, the transferred employees would </w:t>
      </w:r>
      <w:r w:rsidR="000F2170" w:rsidRPr="00AA64AE">
        <w:rPr>
          <w:lang w:val="en-GB"/>
        </w:rPr>
        <w:t>perform no work at all, not to mention more specific requirements (receiving instructions, being under employer’s control, having specific workplace and working hours, etc.).</w:t>
      </w:r>
      <w:r w:rsidR="00B12ADE" w:rsidRPr="00AA64AE">
        <w:rPr>
          <w:lang w:val="en-GB"/>
        </w:rPr>
        <w:t xml:space="preserve"> It means that it</w:t>
      </w:r>
      <w:r w:rsidR="001277EF" w:rsidRPr="00AA64AE">
        <w:rPr>
          <w:lang w:val="en-GB"/>
        </w:rPr>
        <w:t xml:space="preserve"> is</w:t>
      </w:r>
      <w:r w:rsidR="00B12ADE" w:rsidRPr="00AA64AE">
        <w:rPr>
          <w:lang w:val="en-GB"/>
        </w:rPr>
        <w:t xml:space="preserve"> impossible to establish the existence of an employment relationship</w:t>
      </w:r>
      <w:r w:rsidR="00AF6A87">
        <w:rPr>
          <w:lang w:val="en-GB"/>
        </w:rPr>
        <w:t xml:space="preserve"> between the Plaintiffs and</w:t>
      </w:r>
      <w:r w:rsidR="00741FFC" w:rsidRPr="00AA64AE">
        <w:rPr>
          <w:lang w:val="en-GB"/>
        </w:rPr>
        <w:t xml:space="preserve"> Y</w:t>
      </w:r>
      <w:r w:rsidR="009E340C">
        <w:rPr>
          <w:lang w:val="en-GB"/>
        </w:rPr>
        <w:t xml:space="preserve"> after conclusion of the lease agreement</w:t>
      </w:r>
      <w:r w:rsidR="00741FFC" w:rsidRPr="00AA64AE">
        <w:rPr>
          <w:lang w:val="en-GB"/>
        </w:rPr>
        <w:t xml:space="preserve">, as </w:t>
      </w:r>
      <w:r w:rsidR="00A9631E" w:rsidRPr="00AA64AE">
        <w:rPr>
          <w:lang w:val="en-GB"/>
        </w:rPr>
        <w:t xml:space="preserve">no work </w:t>
      </w:r>
      <w:r w:rsidR="00C14278">
        <w:rPr>
          <w:lang w:val="en-GB"/>
        </w:rPr>
        <w:t xml:space="preserve">was </w:t>
      </w:r>
      <w:r w:rsidR="00A9631E" w:rsidRPr="00AA64AE">
        <w:rPr>
          <w:lang w:val="en-GB"/>
        </w:rPr>
        <w:t xml:space="preserve">performed </w:t>
      </w:r>
      <w:r w:rsidR="00263B7B">
        <w:rPr>
          <w:lang w:val="en-GB"/>
        </w:rPr>
        <w:t xml:space="preserve">by them </w:t>
      </w:r>
      <w:r w:rsidR="00A9631E" w:rsidRPr="00AA64AE">
        <w:rPr>
          <w:lang w:val="en-GB"/>
        </w:rPr>
        <w:t>in return for remuneration.</w:t>
      </w:r>
      <w:r w:rsidR="00476A69">
        <w:rPr>
          <w:lang w:val="en-GB"/>
        </w:rPr>
        <w:t xml:space="preserve"> After all, it </w:t>
      </w:r>
      <w:r w:rsidR="00A97B56">
        <w:rPr>
          <w:lang w:val="en-GB"/>
        </w:rPr>
        <w:t>is hard to expect from Defendant Y that he would entrust waiters or cooks with renovation works.</w:t>
      </w:r>
      <w:r w:rsidR="00DC7DD8">
        <w:rPr>
          <w:lang w:val="en-GB"/>
        </w:rPr>
        <w:t xml:space="preserve"> Thus, employment contracts between Plaintiffs and X</w:t>
      </w:r>
      <w:r w:rsidR="00D506CB">
        <w:rPr>
          <w:lang w:val="en-GB"/>
        </w:rPr>
        <w:t xml:space="preserve"> effectively terminated in January 2016 and </w:t>
      </w:r>
      <w:r w:rsidR="00561766">
        <w:rPr>
          <w:lang w:val="en-GB"/>
        </w:rPr>
        <w:t>Plaintiff I</w:t>
      </w:r>
      <w:r w:rsidR="009E340C">
        <w:rPr>
          <w:lang w:val="en-GB"/>
        </w:rPr>
        <w:t xml:space="preserve"> was </w:t>
      </w:r>
      <w:r w:rsidR="00D506CB">
        <w:rPr>
          <w:lang w:val="en-GB"/>
        </w:rPr>
        <w:t>hired by Y</w:t>
      </w:r>
      <w:r w:rsidR="00EF522D">
        <w:rPr>
          <w:lang w:val="en-GB"/>
        </w:rPr>
        <w:t xml:space="preserve"> from 2.04.2016</w:t>
      </w:r>
      <w:r w:rsidR="00D506CB">
        <w:rPr>
          <w:lang w:val="en-GB"/>
        </w:rPr>
        <w:t xml:space="preserve"> (and not transferred).</w:t>
      </w:r>
    </w:p>
    <w:p w14:paraId="11ED5970" w14:textId="77777777" w:rsidR="00B75ADB" w:rsidRPr="00AA64AE" w:rsidRDefault="00B75ADB" w:rsidP="004908EE">
      <w:pPr>
        <w:pStyle w:val="Lijstalinea"/>
        <w:spacing w:line="360" w:lineRule="auto"/>
        <w:jc w:val="both"/>
        <w:rPr>
          <w:lang w:val="en-GB"/>
        </w:rPr>
      </w:pPr>
    </w:p>
    <w:p w14:paraId="5F00C5D8" w14:textId="6469DF9F" w:rsidR="00B75ADB" w:rsidRPr="00AA64AE" w:rsidRDefault="00561766" w:rsidP="005E7284">
      <w:pPr>
        <w:pStyle w:val="Kop3"/>
      </w:pPr>
      <w:bookmarkStart w:id="32" w:name="_Toc480403686"/>
      <w:bookmarkStart w:id="33" w:name="_Toc480403828"/>
      <w:r>
        <w:t>PLAINTIFF I</w:t>
      </w:r>
      <w:r w:rsidR="006A3F2A" w:rsidRPr="00AA64AE">
        <w:t xml:space="preserve"> HAS NO RIGHT TO THE JUBILEE AWARD</w:t>
      </w:r>
      <w:bookmarkEnd w:id="32"/>
      <w:bookmarkEnd w:id="33"/>
      <w:r w:rsidR="009E340C">
        <w:t xml:space="preserve"> from company y</w:t>
      </w:r>
    </w:p>
    <w:p w14:paraId="3BB2E7F5" w14:textId="77777777" w:rsidR="00B75ADB" w:rsidRPr="00AA64AE" w:rsidRDefault="00B75ADB" w:rsidP="00B75ADB">
      <w:pPr>
        <w:pStyle w:val="Akapitzlist1"/>
        <w:spacing w:line="360" w:lineRule="auto"/>
        <w:jc w:val="both"/>
        <w:rPr>
          <w:rFonts w:ascii="Times New Roman" w:hAnsi="Times New Roman" w:cs="Times New Roman"/>
          <w:b/>
          <w:lang w:val="en-GB"/>
        </w:rPr>
      </w:pPr>
    </w:p>
    <w:p w14:paraId="59796F7B" w14:textId="0E81C952" w:rsidR="00B75ADB" w:rsidRDefault="00B75ADB" w:rsidP="009E340C">
      <w:pPr>
        <w:spacing w:line="360" w:lineRule="auto"/>
        <w:ind w:left="720"/>
        <w:jc w:val="both"/>
        <w:rPr>
          <w:color w:val="000000"/>
          <w:lang w:val="en-GB"/>
        </w:rPr>
      </w:pPr>
      <w:r w:rsidRPr="00AA64AE">
        <w:rPr>
          <w:color w:val="000000"/>
          <w:lang w:val="en-GB"/>
        </w:rPr>
        <w:t xml:space="preserve">Since there has been no </w:t>
      </w:r>
      <w:r w:rsidR="003747CA" w:rsidRPr="00AA64AE">
        <w:rPr>
          <w:color w:val="000000"/>
          <w:lang w:val="en-GB"/>
        </w:rPr>
        <w:t xml:space="preserve">transfer of </w:t>
      </w:r>
      <w:r w:rsidR="009E340C">
        <w:rPr>
          <w:color w:val="000000"/>
          <w:lang w:val="en-GB"/>
        </w:rPr>
        <w:t>(</w:t>
      </w:r>
      <w:r w:rsidR="003747CA" w:rsidRPr="00AA64AE">
        <w:rPr>
          <w:color w:val="000000"/>
          <w:lang w:val="en-GB"/>
        </w:rPr>
        <w:t>part of</w:t>
      </w:r>
      <w:r w:rsidR="009E340C">
        <w:rPr>
          <w:color w:val="000000"/>
          <w:lang w:val="en-GB"/>
        </w:rPr>
        <w:t>)</w:t>
      </w:r>
      <w:r w:rsidR="003747CA" w:rsidRPr="00AA64AE">
        <w:rPr>
          <w:color w:val="000000"/>
          <w:lang w:val="en-GB"/>
        </w:rPr>
        <w:t xml:space="preserve"> undertaking, </w:t>
      </w:r>
      <w:r w:rsidR="009E340C">
        <w:rPr>
          <w:color w:val="000000"/>
          <w:lang w:val="en-GB"/>
        </w:rPr>
        <w:t xml:space="preserve">Y is </w:t>
      </w:r>
      <w:r w:rsidR="009E340C" w:rsidRPr="00AA64AE">
        <w:rPr>
          <w:color w:val="000000"/>
          <w:lang w:val="en-GB"/>
        </w:rPr>
        <w:t>b</w:t>
      </w:r>
      <w:r w:rsidR="009E340C">
        <w:rPr>
          <w:color w:val="000000"/>
          <w:lang w:val="en-GB"/>
        </w:rPr>
        <w:t>ound only by</w:t>
      </w:r>
      <w:r w:rsidR="009E340C" w:rsidRPr="00AA64AE">
        <w:rPr>
          <w:color w:val="000000"/>
          <w:lang w:val="en-GB"/>
        </w:rPr>
        <w:t xml:space="preserve"> </w:t>
      </w:r>
      <w:r w:rsidR="009E340C">
        <w:rPr>
          <w:color w:val="000000"/>
          <w:lang w:val="en-GB"/>
        </w:rPr>
        <w:t xml:space="preserve">the </w:t>
      </w:r>
      <w:r w:rsidR="009E340C" w:rsidRPr="00AA64AE">
        <w:rPr>
          <w:color w:val="000000"/>
          <w:lang w:val="en-GB"/>
        </w:rPr>
        <w:t>collective agreement</w:t>
      </w:r>
      <w:r w:rsidR="009E340C">
        <w:rPr>
          <w:color w:val="000000"/>
          <w:lang w:val="en-GB"/>
        </w:rPr>
        <w:t xml:space="preserve"> which is in force in</w:t>
      </w:r>
      <w:r w:rsidR="009E340C" w:rsidRPr="00AA64AE">
        <w:rPr>
          <w:color w:val="000000"/>
          <w:lang w:val="en-GB"/>
        </w:rPr>
        <w:t xml:space="preserve"> Company Y. Th</w:t>
      </w:r>
      <w:r w:rsidR="009E340C">
        <w:rPr>
          <w:color w:val="000000"/>
          <w:lang w:val="en-GB"/>
        </w:rPr>
        <w:t>at</w:t>
      </w:r>
      <w:r w:rsidR="009E340C" w:rsidRPr="00AA64AE">
        <w:rPr>
          <w:color w:val="000000"/>
          <w:lang w:val="en-GB"/>
        </w:rPr>
        <w:t xml:space="preserve"> agreement contains no provisions on jubilee award</w:t>
      </w:r>
      <w:r w:rsidR="009E340C">
        <w:rPr>
          <w:color w:val="000000"/>
          <w:lang w:val="en-GB"/>
        </w:rPr>
        <w:t>. Thus,</w:t>
      </w:r>
      <w:r w:rsidR="009E340C" w:rsidRPr="00AA64AE">
        <w:rPr>
          <w:color w:val="000000"/>
          <w:lang w:val="en-GB"/>
        </w:rPr>
        <w:t xml:space="preserve"> no claim for a jubilee award resulting from the X’s collective agreement can be made</w:t>
      </w:r>
      <w:r w:rsidR="009E340C">
        <w:rPr>
          <w:color w:val="000000"/>
          <w:lang w:val="en-GB"/>
        </w:rPr>
        <w:t xml:space="preserve"> against Y</w:t>
      </w:r>
      <w:r w:rsidR="009E340C" w:rsidRPr="00AA64AE">
        <w:rPr>
          <w:color w:val="000000"/>
          <w:lang w:val="en-GB"/>
        </w:rPr>
        <w:t>.</w:t>
      </w:r>
    </w:p>
    <w:p w14:paraId="2E640D1B" w14:textId="1C0C6CCB" w:rsidR="007A6BD7" w:rsidRPr="00AA64AE" w:rsidRDefault="00BA6D73" w:rsidP="00A05B9E">
      <w:pPr>
        <w:spacing w:line="360" w:lineRule="auto"/>
        <w:ind w:left="720"/>
        <w:jc w:val="both"/>
        <w:rPr>
          <w:color w:val="000000"/>
          <w:lang w:val="en-GB"/>
        </w:rPr>
      </w:pPr>
      <w:r>
        <w:rPr>
          <w:color w:val="000000"/>
          <w:lang w:val="en-GB"/>
        </w:rPr>
        <w:t>As there was no transfer</w:t>
      </w:r>
      <w:r w:rsidR="009E340C">
        <w:rPr>
          <w:color w:val="000000"/>
          <w:lang w:val="en-GB"/>
        </w:rPr>
        <w:t>, any claims relatin</w:t>
      </w:r>
      <w:r>
        <w:rPr>
          <w:color w:val="000000"/>
          <w:lang w:val="en-GB"/>
        </w:rPr>
        <w:t>g to the jubilee award based on</w:t>
      </w:r>
      <w:r w:rsidR="009E340C">
        <w:rPr>
          <w:color w:val="000000"/>
          <w:lang w:val="en-GB"/>
        </w:rPr>
        <w:t xml:space="preserve"> collective agreement concluded by Employer X could only be brought against Employer X. Therefore, Y states that </w:t>
      </w:r>
      <w:r w:rsidR="00573B96">
        <w:rPr>
          <w:color w:val="000000"/>
          <w:lang w:val="en-GB"/>
        </w:rPr>
        <w:t xml:space="preserve">it </w:t>
      </w:r>
      <w:r w:rsidR="009E340C">
        <w:rPr>
          <w:color w:val="000000"/>
          <w:lang w:val="en-GB"/>
        </w:rPr>
        <w:t>should not be sue</w:t>
      </w:r>
      <w:r w:rsidR="00EA7EDE">
        <w:rPr>
          <w:color w:val="000000"/>
          <w:lang w:val="en-GB"/>
        </w:rPr>
        <w:t>d in respect of the Plaintiff I</w:t>
      </w:r>
      <w:r w:rsidR="00573B96">
        <w:rPr>
          <w:color w:val="000000"/>
          <w:lang w:val="en-GB"/>
        </w:rPr>
        <w:t>’s</w:t>
      </w:r>
      <w:r w:rsidR="009E340C">
        <w:rPr>
          <w:color w:val="000000"/>
          <w:lang w:val="en-GB"/>
        </w:rPr>
        <w:t xml:space="preserve"> jubilee award claim and would like to ask the court to bring a third party action and engage Empl</w:t>
      </w:r>
      <w:r w:rsidR="00573B96">
        <w:rPr>
          <w:color w:val="000000"/>
          <w:lang w:val="en-GB"/>
        </w:rPr>
        <w:t xml:space="preserve">oyer X as the defendant and </w:t>
      </w:r>
      <w:r w:rsidR="009E340C">
        <w:rPr>
          <w:color w:val="000000"/>
          <w:lang w:val="en-GB"/>
        </w:rPr>
        <w:t>the proper party to this lawsuit, who should replace Defendant Y.</w:t>
      </w:r>
    </w:p>
    <w:p w14:paraId="527BB934" w14:textId="5A0D955D" w:rsidR="007A6BD7" w:rsidRPr="00AA64AE" w:rsidRDefault="00EA7EDE" w:rsidP="007A6BD7">
      <w:pPr>
        <w:pStyle w:val="Kop4"/>
      </w:pPr>
      <w:r>
        <w:lastRenderedPageBreak/>
        <w:t xml:space="preserve">Plaintiff </w:t>
      </w:r>
      <w:r w:rsidR="007A6BD7">
        <w:t>I</w:t>
      </w:r>
      <w:r w:rsidR="007A6BD7" w:rsidRPr="00AA64AE">
        <w:t xml:space="preserve"> does not have the right to be awarded a jubilee award in case the court declares transfer on 2.</w:t>
      </w:r>
      <w:r w:rsidR="007A6BD7">
        <w:t>0</w:t>
      </w:r>
      <w:r w:rsidR="007A6BD7" w:rsidRPr="00AA64AE">
        <w:t>4.2016</w:t>
      </w:r>
    </w:p>
    <w:p w14:paraId="6F7CDC20" w14:textId="77777777" w:rsidR="007A6BD7" w:rsidRPr="00AA64AE" w:rsidRDefault="007A6BD7" w:rsidP="007A6BD7">
      <w:pPr>
        <w:pStyle w:val="Akapitzlist1"/>
        <w:spacing w:line="360" w:lineRule="auto"/>
        <w:jc w:val="both"/>
        <w:rPr>
          <w:rFonts w:ascii="Times New Roman" w:hAnsi="Times New Roman" w:cs="Times New Roman"/>
          <w:b/>
          <w:lang w:val="en-GB"/>
        </w:rPr>
      </w:pPr>
    </w:p>
    <w:p w14:paraId="2415A878" w14:textId="05EC33AC" w:rsidR="007A6BD7" w:rsidRPr="003E5238" w:rsidRDefault="007A6BD7" w:rsidP="007A6BD7">
      <w:pPr>
        <w:spacing w:line="360" w:lineRule="auto"/>
        <w:ind w:left="720"/>
        <w:jc w:val="both"/>
        <w:rPr>
          <w:lang w:val="en-GB"/>
        </w:rPr>
      </w:pPr>
      <w:r>
        <w:rPr>
          <w:lang w:val="en-GB"/>
        </w:rPr>
        <w:t>In</w:t>
      </w:r>
      <w:r w:rsidRPr="00AA64AE">
        <w:rPr>
          <w:lang w:val="en-GB"/>
        </w:rPr>
        <w:t xml:space="preserve"> case the Court declares a transfer of enterprise,</w:t>
      </w:r>
      <w:r>
        <w:rPr>
          <w:lang w:val="en-GB"/>
        </w:rPr>
        <w:t xml:space="preserve"> the Defendant argues that the transfer took place on the 2.04.2016. A</w:t>
      </w:r>
      <w:r w:rsidRPr="00AA64AE">
        <w:rPr>
          <w:lang w:val="en-GB"/>
        </w:rPr>
        <w:t xml:space="preserve">ccording to the </w:t>
      </w:r>
      <w:r w:rsidRPr="00AA64AE">
        <w:rPr>
          <w:i/>
          <w:lang w:val="en-GB"/>
        </w:rPr>
        <w:t>Celtec</w:t>
      </w:r>
      <w:r w:rsidRPr="00AA64AE">
        <w:rPr>
          <w:lang w:val="en-GB"/>
        </w:rPr>
        <w:t xml:space="preserve"> case, a certain date of transfer should be indicated. “</w:t>
      </w:r>
      <w:r w:rsidRPr="00AA64AE">
        <w:rPr>
          <w:i/>
          <w:lang w:val="en-GB"/>
        </w:rPr>
        <w:t xml:space="preserve">That date is </w:t>
      </w:r>
      <w:r w:rsidRPr="007A6BD7">
        <w:rPr>
          <w:b/>
          <w:i/>
          <w:lang w:val="en-GB"/>
        </w:rPr>
        <w:t>a particular point in time</w:t>
      </w:r>
      <w:r w:rsidRPr="00AA64AE">
        <w:rPr>
          <w:i/>
          <w:lang w:val="en-GB"/>
        </w:rPr>
        <w:t>, which cannot be postponed to another date at the will of the transferor or transferee</w:t>
      </w:r>
      <w:r w:rsidRPr="00AA64AE">
        <w:rPr>
          <w:lang w:val="en-GB"/>
        </w:rPr>
        <w:t>”, and is “</w:t>
      </w:r>
      <w:r w:rsidRPr="00AA64AE">
        <w:rPr>
          <w:i/>
          <w:lang w:val="en-GB"/>
        </w:rPr>
        <w:t>the date on which responsibility as employer for carrying on the business of the unit transferred moves from the transferor to the transferee</w:t>
      </w:r>
      <w:r w:rsidRPr="00AA64AE">
        <w:rPr>
          <w:lang w:val="en-GB"/>
        </w:rPr>
        <w:t>”</w:t>
      </w:r>
      <w:r w:rsidRPr="00AA64AE">
        <w:rPr>
          <w:rStyle w:val="Voetnootmarkering"/>
          <w:lang w:val="en-GB"/>
        </w:rPr>
        <w:footnoteReference w:id="27"/>
      </w:r>
      <w:r w:rsidRPr="00AA64AE">
        <w:rPr>
          <w:lang w:val="en-GB"/>
        </w:rPr>
        <w:t>. In the c</w:t>
      </w:r>
      <w:r>
        <w:rPr>
          <w:lang w:val="en-GB"/>
        </w:rPr>
        <w:t>ase at hand, the 2 April 2016 sh</w:t>
      </w:r>
      <w:r w:rsidRPr="00AA64AE">
        <w:rPr>
          <w:lang w:val="en-GB"/>
        </w:rPr>
        <w:t>ould be declared as the date of transfer, as it will be the first day of re-esta</w:t>
      </w:r>
      <w:r>
        <w:rPr>
          <w:lang w:val="en-GB"/>
        </w:rPr>
        <w:t>blishment of activity after a 4-months-l</w:t>
      </w:r>
      <w:r w:rsidRPr="00AA64AE">
        <w:rPr>
          <w:lang w:val="en-GB"/>
        </w:rPr>
        <w:t xml:space="preserve">ong </w:t>
      </w:r>
      <w:r>
        <w:rPr>
          <w:lang w:val="en-GB"/>
        </w:rPr>
        <w:t>break</w:t>
      </w:r>
      <w:r w:rsidRPr="00AA64AE">
        <w:rPr>
          <w:lang w:val="en-GB"/>
        </w:rPr>
        <w:t xml:space="preserve"> and therefore, it will be the moment when Y </w:t>
      </w:r>
      <w:r w:rsidRPr="007A6BD7">
        <w:rPr>
          <w:b/>
          <w:lang w:val="en-GB"/>
        </w:rPr>
        <w:t>becomes responsible ‘</w:t>
      </w:r>
      <w:r w:rsidRPr="007A6BD7">
        <w:rPr>
          <w:b/>
          <w:i/>
          <w:lang w:val="en-GB"/>
        </w:rPr>
        <w:t>as employer for carrying on the business’</w:t>
      </w:r>
      <w:r w:rsidRPr="00AA64AE">
        <w:rPr>
          <w:lang w:val="en-GB"/>
        </w:rPr>
        <w:t xml:space="preserve">.  </w:t>
      </w:r>
      <w:r w:rsidR="003123E2">
        <w:rPr>
          <w:color w:val="000000"/>
          <w:lang w:val="en-GB"/>
        </w:rPr>
        <w:t>The</w:t>
      </w:r>
      <w:r w:rsidRPr="00AA64AE">
        <w:rPr>
          <w:color w:val="000000"/>
          <w:lang w:val="en-GB"/>
        </w:rPr>
        <w:t xml:space="preserve"> </w:t>
      </w:r>
      <w:r>
        <w:rPr>
          <w:color w:val="000000"/>
          <w:lang w:val="en-GB"/>
        </w:rPr>
        <w:t xml:space="preserve">2001/23 </w:t>
      </w:r>
      <w:r w:rsidRPr="00AA64AE">
        <w:rPr>
          <w:color w:val="000000"/>
          <w:lang w:val="en-GB"/>
        </w:rPr>
        <w:t xml:space="preserve">Directive will not apply to </w:t>
      </w:r>
      <w:r w:rsidR="00EA7EDE">
        <w:rPr>
          <w:color w:val="000000"/>
          <w:lang w:val="en-GB"/>
        </w:rPr>
        <w:t>Plaintiff I</w:t>
      </w:r>
      <w:r>
        <w:rPr>
          <w:color w:val="000000"/>
          <w:lang w:val="en-GB"/>
        </w:rPr>
        <w:t xml:space="preserve"> and </w:t>
      </w:r>
      <w:r w:rsidR="00475008">
        <w:rPr>
          <w:color w:val="000000"/>
          <w:lang w:val="en-GB"/>
        </w:rPr>
        <w:t xml:space="preserve">Defendant </w:t>
      </w:r>
      <w:r>
        <w:rPr>
          <w:color w:val="000000"/>
          <w:lang w:val="en-GB"/>
        </w:rPr>
        <w:t>Y</w:t>
      </w:r>
      <w:r w:rsidR="003123E2">
        <w:rPr>
          <w:color w:val="000000"/>
          <w:lang w:val="en-GB"/>
        </w:rPr>
        <w:t xml:space="preserve"> because </w:t>
      </w:r>
      <w:r w:rsidR="00EA7EDE">
        <w:rPr>
          <w:color w:val="000000"/>
          <w:lang w:val="en-GB"/>
        </w:rPr>
        <w:t>Plaintiff I</w:t>
      </w:r>
      <w:r w:rsidRPr="00AA64AE">
        <w:rPr>
          <w:color w:val="000000"/>
          <w:lang w:val="en-GB"/>
        </w:rPr>
        <w:t xml:space="preserve"> was not employe</w:t>
      </w:r>
      <w:r w:rsidR="003123E2">
        <w:rPr>
          <w:color w:val="000000"/>
          <w:lang w:val="en-GB"/>
        </w:rPr>
        <w:t>d by X on the date of transfer</w:t>
      </w:r>
      <w:r w:rsidR="0057505C">
        <w:rPr>
          <w:color w:val="000000"/>
          <w:lang w:val="en-GB"/>
        </w:rPr>
        <w:t xml:space="preserve"> (his contract expired in January)</w:t>
      </w:r>
      <w:r w:rsidR="003123E2">
        <w:rPr>
          <w:color w:val="000000"/>
          <w:lang w:val="en-GB"/>
        </w:rPr>
        <w:t xml:space="preserve"> and </w:t>
      </w:r>
      <w:r w:rsidRPr="00AA64AE">
        <w:rPr>
          <w:color w:val="000000"/>
          <w:lang w:val="en-GB"/>
        </w:rPr>
        <w:t>therefore</w:t>
      </w:r>
      <w:r w:rsidR="003123E2">
        <w:rPr>
          <w:color w:val="000000"/>
          <w:lang w:val="en-GB"/>
        </w:rPr>
        <w:t>,</w:t>
      </w:r>
      <w:r w:rsidRPr="00AA64AE">
        <w:rPr>
          <w:color w:val="000000"/>
          <w:lang w:val="en-GB"/>
        </w:rPr>
        <w:t xml:space="preserve"> he can only be treated as an employee recruited </w:t>
      </w:r>
      <w:r w:rsidR="0057505C">
        <w:rPr>
          <w:color w:val="000000"/>
          <w:lang w:val="en-GB"/>
        </w:rPr>
        <w:t>by Y</w:t>
      </w:r>
      <w:r w:rsidRPr="00AA64AE">
        <w:rPr>
          <w:rStyle w:val="Voetnootmarkering"/>
          <w:color w:val="000000"/>
          <w:lang w:val="en-GB"/>
        </w:rPr>
        <w:footnoteReference w:id="28"/>
      </w:r>
      <w:r w:rsidRPr="00AA64AE">
        <w:rPr>
          <w:color w:val="000000"/>
          <w:lang w:val="en-GB"/>
        </w:rPr>
        <w:t xml:space="preserve">.  </w:t>
      </w:r>
      <w:r>
        <w:rPr>
          <w:color w:val="000000"/>
          <w:lang w:val="en-GB"/>
        </w:rPr>
        <w:t xml:space="preserve">In that case, </w:t>
      </w:r>
      <w:r w:rsidR="00AB03BE">
        <w:rPr>
          <w:lang w:val="en-GB"/>
        </w:rPr>
        <w:t>according to art.</w:t>
      </w:r>
      <w:r>
        <w:rPr>
          <w:lang w:val="en-GB"/>
        </w:rPr>
        <w:t>3(1) of the 2001/23 Directive, the Defen</w:t>
      </w:r>
      <w:r w:rsidR="00BA0F64">
        <w:rPr>
          <w:lang w:val="en-GB"/>
        </w:rPr>
        <w:t>dant is not obliged to pay him the</w:t>
      </w:r>
      <w:r>
        <w:rPr>
          <w:lang w:val="en-GB"/>
        </w:rPr>
        <w:t xml:space="preserve"> jubilee award, which the Plaintiff </w:t>
      </w:r>
      <w:r w:rsidR="00EA7EDE">
        <w:rPr>
          <w:lang w:val="en-GB"/>
        </w:rPr>
        <w:t>I</w:t>
      </w:r>
      <w:r w:rsidR="003123E2">
        <w:rPr>
          <w:lang w:val="en-GB"/>
        </w:rPr>
        <w:t xml:space="preserve"> </w:t>
      </w:r>
      <w:r>
        <w:rPr>
          <w:lang w:val="en-GB"/>
        </w:rPr>
        <w:t xml:space="preserve">could </w:t>
      </w:r>
      <w:r w:rsidR="003123E2">
        <w:rPr>
          <w:lang w:val="en-GB"/>
        </w:rPr>
        <w:t xml:space="preserve">potentially </w:t>
      </w:r>
      <w:r w:rsidR="00F93B49">
        <w:rPr>
          <w:lang w:val="en-GB"/>
        </w:rPr>
        <w:t>acquire before this</w:t>
      </w:r>
      <w:r>
        <w:rPr>
          <w:lang w:val="en-GB"/>
        </w:rPr>
        <w:t xml:space="preserve"> date of transfer, during his employment with X.</w:t>
      </w:r>
    </w:p>
    <w:p w14:paraId="44AD1C69" w14:textId="77777777" w:rsidR="00B75ADB" w:rsidRPr="00AA64AE" w:rsidRDefault="00B75ADB" w:rsidP="00B75ADB">
      <w:pPr>
        <w:pStyle w:val="Akapitzlist1"/>
        <w:spacing w:line="360" w:lineRule="auto"/>
        <w:jc w:val="both"/>
        <w:rPr>
          <w:rFonts w:ascii="Times New Roman" w:hAnsi="Times New Roman" w:cs="Times New Roman"/>
          <w:b/>
          <w:lang w:val="en-GB"/>
        </w:rPr>
      </w:pPr>
    </w:p>
    <w:p w14:paraId="4027C6EE" w14:textId="45257D25" w:rsidR="00B75ADB" w:rsidRPr="00AA64AE" w:rsidRDefault="00EA7EDE" w:rsidP="005E7284">
      <w:pPr>
        <w:pStyle w:val="Kop4"/>
      </w:pPr>
      <w:r>
        <w:t>Plaintiff I</w:t>
      </w:r>
      <w:r w:rsidR="00B75ADB" w:rsidRPr="00AA64AE">
        <w:t xml:space="preserve"> does not have the right to be awarded a j</w:t>
      </w:r>
      <w:r w:rsidR="00F068F0" w:rsidRPr="00AA64AE">
        <w:t>ubilee award in case the c</w:t>
      </w:r>
      <w:r w:rsidR="00CB45B4" w:rsidRPr="00AA64AE">
        <w:t xml:space="preserve">ourt declares transfer on </w:t>
      </w:r>
      <w:r w:rsidR="00D23D0D">
        <w:t>1.01.2016</w:t>
      </w:r>
    </w:p>
    <w:p w14:paraId="510769AF" w14:textId="77777777" w:rsidR="00B75ADB" w:rsidRPr="00AA64AE" w:rsidRDefault="00B75ADB" w:rsidP="00B75ADB">
      <w:pPr>
        <w:pStyle w:val="Akapitzlist1"/>
        <w:spacing w:line="360" w:lineRule="auto"/>
        <w:jc w:val="both"/>
        <w:rPr>
          <w:rFonts w:ascii="Times New Roman" w:hAnsi="Times New Roman" w:cs="Times New Roman"/>
          <w:b/>
          <w:lang w:val="en-GB"/>
        </w:rPr>
      </w:pPr>
    </w:p>
    <w:p w14:paraId="55767BFD" w14:textId="76EFDE4E" w:rsidR="00F71E8E" w:rsidRPr="00AA64AE" w:rsidRDefault="003123E2" w:rsidP="00F36D96">
      <w:pPr>
        <w:autoSpaceDE w:val="0"/>
        <w:autoSpaceDN w:val="0"/>
        <w:adjustRightInd w:val="0"/>
        <w:spacing w:line="360" w:lineRule="auto"/>
        <w:ind w:left="720"/>
        <w:jc w:val="both"/>
        <w:rPr>
          <w:lang w:val="en-GB"/>
        </w:rPr>
      </w:pPr>
      <w:r>
        <w:rPr>
          <w:lang w:val="en-GB"/>
        </w:rPr>
        <w:t>Even i</w:t>
      </w:r>
      <w:r w:rsidR="00B75ADB" w:rsidRPr="00AA64AE">
        <w:rPr>
          <w:lang w:val="en-GB"/>
        </w:rPr>
        <w:t xml:space="preserve">f the date of transfer </w:t>
      </w:r>
      <w:r w:rsidR="002C3715" w:rsidRPr="00AA64AE">
        <w:rPr>
          <w:lang w:val="en-GB"/>
        </w:rPr>
        <w:t>is to be</w:t>
      </w:r>
      <w:r w:rsidR="00B75ADB" w:rsidRPr="00AA64AE">
        <w:rPr>
          <w:lang w:val="en-GB"/>
        </w:rPr>
        <w:t xml:space="preserve"> set on </w:t>
      </w:r>
      <w:r w:rsidR="007A6BD7">
        <w:rPr>
          <w:lang w:val="en-GB"/>
        </w:rPr>
        <w:t>the date of final lease contract</w:t>
      </w:r>
      <w:r w:rsidR="00B75ADB" w:rsidRPr="00AA64AE">
        <w:rPr>
          <w:lang w:val="en-GB"/>
        </w:rPr>
        <w:t xml:space="preserve">, none of the </w:t>
      </w:r>
      <w:r w:rsidR="00B525F7" w:rsidRPr="00AA64AE">
        <w:rPr>
          <w:lang w:val="en-GB"/>
        </w:rPr>
        <w:t>X’s c</w:t>
      </w:r>
      <w:r w:rsidR="00B75ADB" w:rsidRPr="00AA64AE">
        <w:rPr>
          <w:lang w:val="en-GB"/>
        </w:rPr>
        <w:t>ollective agreements</w:t>
      </w:r>
      <w:r w:rsidR="00B525F7" w:rsidRPr="00AA64AE">
        <w:rPr>
          <w:lang w:val="en-GB"/>
        </w:rPr>
        <w:t xml:space="preserve"> a</w:t>
      </w:r>
      <w:r w:rsidR="00B75ADB" w:rsidRPr="00AA64AE">
        <w:rPr>
          <w:lang w:val="en-GB"/>
        </w:rPr>
        <w:t>re binding for Employer Y. As stated in the art.3 par.3 of the</w:t>
      </w:r>
      <w:r w:rsidR="003E5238">
        <w:rPr>
          <w:lang w:val="en-GB"/>
        </w:rPr>
        <w:t xml:space="preserve"> 2001/23</w:t>
      </w:r>
      <w:r w:rsidR="00B75ADB" w:rsidRPr="00AA64AE">
        <w:rPr>
          <w:lang w:val="en-GB"/>
        </w:rPr>
        <w:t xml:space="preserve"> </w:t>
      </w:r>
      <w:r w:rsidR="00A2365D" w:rsidRPr="00AA64AE">
        <w:rPr>
          <w:lang w:val="en-GB"/>
        </w:rPr>
        <w:t>Directive, f</w:t>
      </w:r>
      <w:r w:rsidR="00B75ADB" w:rsidRPr="00AA64AE">
        <w:rPr>
          <w:lang w:val="en-GB"/>
        </w:rPr>
        <w:t>ollowing the transfer, the transferee shall continue to observe the terms and conditions agreed in any collective agreement on the same terms applicable to the transferor under that agreement, until the date of termination or expiry of the collective agreement or the entry into force or application of another collective agreement.</w:t>
      </w:r>
      <w:r w:rsidR="00B75ADB" w:rsidRPr="00AA64AE">
        <w:rPr>
          <w:b/>
          <w:lang w:val="en-GB"/>
        </w:rPr>
        <w:t xml:space="preserve"> </w:t>
      </w:r>
      <w:r w:rsidR="00B75ADB" w:rsidRPr="00AA64AE">
        <w:rPr>
          <w:lang w:val="en-GB"/>
        </w:rPr>
        <w:t xml:space="preserve">In </w:t>
      </w:r>
      <w:r w:rsidR="000A5062" w:rsidRPr="00AA64AE">
        <w:rPr>
          <w:lang w:val="en-GB"/>
        </w:rPr>
        <w:t xml:space="preserve">the </w:t>
      </w:r>
      <w:r w:rsidR="00B75ADB" w:rsidRPr="00AA64AE">
        <w:rPr>
          <w:lang w:val="en-GB"/>
        </w:rPr>
        <w:t>present case,</w:t>
      </w:r>
      <w:r w:rsidR="00132DEC" w:rsidRPr="00AA64AE">
        <w:rPr>
          <w:lang w:val="en-GB"/>
        </w:rPr>
        <w:t xml:space="preserve"> 3</w:t>
      </w:r>
      <w:r w:rsidR="00A65E75" w:rsidRPr="00AA64AE">
        <w:rPr>
          <w:lang w:val="en-GB"/>
        </w:rPr>
        <w:t>1.12.2015</w:t>
      </w:r>
      <w:r w:rsidR="00132DEC" w:rsidRPr="00AA64AE">
        <w:rPr>
          <w:lang w:val="en-GB"/>
        </w:rPr>
        <w:t xml:space="preserve"> was the last day of the first collective agreement being effective at X. Therefore</w:t>
      </w:r>
      <w:r w:rsidR="00A2365D" w:rsidRPr="00AA64AE">
        <w:rPr>
          <w:lang w:val="en-GB"/>
        </w:rPr>
        <w:t>,</w:t>
      </w:r>
      <w:r w:rsidR="00132DEC" w:rsidRPr="00AA64AE">
        <w:rPr>
          <w:lang w:val="en-GB"/>
        </w:rPr>
        <w:t xml:space="preserve"> </w:t>
      </w:r>
      <w:r w:rsidR="000A5062" w:rsidRPr="00AA64AE">
        <w:rPr>
          <w:lang w:val="en-GB"/>
        </w:rPr>
        <w:t>the old agreement expired</w:t>
      </w:r>
      <w:r w:rsidR="00132DEC" w:rsidRPr="00AA64AE">
        <w:rPr>
          <w:lang w:val="en-GB"/>
        </w:rPr>
        <w:t xml:space="preserve"> before</w:t>
      </w:r>
      <w:r w:rsidR="00A2365D" w:rsidRPr="00AA64AE">
        <w:rPr>
          <w:lang w:val="en-GB"/>
        </w:rPr>
        <w:t xml:space="preserve"> the transfer took</w:t>
      </w:r>
      <w:r w:rsidR="000A5062" w:rsidRPr="00AA64AE">
        <w:rPr>
          <w:lang w:val="en-GB"/>
        </w:rPr>
        <w:t xml:space="preserve"> place, so Y was</w:t>
      </w:r>
      <w:r w:rsidR="00A2365D" w:rsidRPr="00AA64AE">
        <w:rPr>
          <w:lang w:val="en-GB"/>
        </w:rPr>
        <w:t xml:space="preserve"> not obliged to observe its terms</w:t>
      </w:r>
      <w:r w:rsidR="003E5238">
        <w:rPr>
          <w:lang w:val="en-GB"/>
        </w:rPr>
        <w:t xml:space="preserve"> after the date of transfer</w:t>
      </w:r>
      <w:r w:rsidR="00A2365D" w:rsidRPr="00AA64AE">
        <w:rPr>
          <w:lang w:val="en-GB"/>
        </w:rPr>
        <w:t xml:space="preserve">. The new collective agreement </w:t>
      </w:r>
      <w:r w:rsidR="000A5062" w:rsidRPr="00AA64AE">
        <w:rPr>
          <w:lang w:val="en-GB"/>
        </w:rPr>
        <w:t xml:space="preserve">came into effect </w:t>
      </w:r>
      <w:r w:rsidR="003E5238">
        <w:rPr>
          <w:lang w:val="en-GB"/>
        </w:rPr>
        <w:t xml:space="preserve">in X’s enterprise </w:t>
      </w:r>
      <w:r w:rsidR="00F36D96">
        <w:rPr>
          <w:lang w:val="en-GB"/>
        </w:rPr>
        <w:t>on the 1.01.</w:t>
      </w:r>
      <w:r w:rsidR="00A65E75" w:rsidRPr="00AA64AE">
        <w:rPr>
          <w:lang w:val="en-GB"/>
        </w:rPr>
        <w:t>2016</w:t>
      </w:r>
      <w:r w:rsidR="000A5062" w:rsidRPr="00AA64AE">
        <w:rPr>
          <w:lang w:val="en-GB"/>
        </w:rPr>
        <w:t xml:space="preserve">, however that </w:t>
      </w:r>
      <w:r w:rsidR="000A5062" w:rsidRPr="00AA64AE">
        <w:rPr>
          <w:lang w:val="en-GB"/>
        </w:rPr>
        <w:lastRenderedPageBreak/>
        <w:t>was when the transfer</w:t>
      </w:r>
      <w:r w:rsidR="00FC5F7E" w:rsidRPr="00AA64AE">
        <w:rPr>
          <w:lang w:val="en-GB"/>
        </w:rPr>
        <w:t xml:space="preserve"> already took place, so the transferred </w:t>
      </w:r>
      <w:r w:rsidR="000A5062" w:rsidRPr="00AA64AE">
        <w:rPr>
          <w:lang w:val="en-GB"/>
        </w:rPr>
        <w:t xml:space="preserve">employees were </w:t>
      </w:r>
      <w:r w:rsidR="00FC5F7E" w:rsidRPr="00AA64AE">
        <w:rPr>
          <w:lang w:val="en-GB"/>
        </w:rPr>
        <w:t xml:space="preserve">not covered at any time by this agreement. </w:t>
      </w:r>
      <w:r w:rsidR="009B36C9" w:rsidRPr="00AA64AE">
        <w:rPr>
          <w:lang w:val="en-GB"/>
        </w:rPr>
        <w:t xml:space="preserve">According </w:t>
      </w:r>
      <w:r w:rsidR="00B75ADB" w:rsidRPr="00AA64AE">
        <w:rPr>
          <w:lang w:val="en-GB"/>
        </w:rPr>
        <w:t xml:space="preserve">to the literal reading of the aforementioned article, </w:t>
      </w:r>
      <w:r w:rsidR="0031186F" w:rsidRPr="00AA64AE">
        <w:rPr>
          <w:lang w:val="en-GB"/>
        </w:rPr>
        <w:t>“</w:t>
      </w:r>
      <w:r w:rsidR="00B75ADB" w:rsidRPr="00AA64AE">
        <w:rPr>
          <w:i/>
          <w:lang w:val="en-GB"/>
        </w:rPr>
        <w:t xml:space="preserve">the transferee </w:t>
      </w:r>
      <w:r w:rsidR="00B75ADB" w:rsidRPr="00AA64AE">
        <w:rPr>
          <w:b/>
          <w:i/>
          <w:lang w:val="en-GB"/>
        </w:rPr>
        <w:t>shall continue to observe</w:t>
      </w:r>
      <w:r w:rsidR="00B75ADB" w:rsidRPr="00AA64AE">
        <w:rPr>
          <w:i/>
          <w:lang w:val="en-GB"/>
        </w:rPr>
        <w:t xml:space="preserve"> the terms and conditions</w:t>
      </w:r>
      <w:r w:rsidR="0031186F" w:rsidRPr="00AA64AE">
        <w:rPr>
          <w:i/>
          <w:lang w:val="en-GB"/>
        </w:rPr>
        <w:t>”</w:t>
      </w:r>
      <w:r w:rsidR="00FC5F7E" w:rsidRPr="00AA64AE">
        <w:rPr>
          <w:lang w:val="en-GB"/>
        </w:rPr>
        <w:t xml:space="preserve"> thus, in</w:t>
      </w:r>
      <w:r w:rsidR="00B75ADB" w:rsidRPr="00AA64AE">
        <w:rPr>
          <w:lang w:val="en-GB"/>
        </w:rPr>
        <w:t xml:space="preserve"> case of an unusual time coincidence, it cannot be stated that the collective agreement th</w:t>
      </w:r>
      <w:r w:rsidR="00F36D96">
        <w:rPr>
          <w:lang w:val="en-GB"/>
        </w:rPr>
        <w:t>at comes into force on the 1.01.</w:t>
      </w:r>
      <w:r w:rsidR="00A65E75" w:rsidRPr="00AA64AE">
        <w:rPr>
          <w:lang w:val="en-GB"/>
        </w:rPr>
        <w:t>2016</w:t>
      </w:r>
      <w:r w:rsidR="00B75ADB" w:rsidRPr="00AA64AE">
        <w:rPr>
          <w:lang w:val="en-GB"/>
        </w:rPr>
        <w:t xml:space="preserve"> binds the Employer Y, </w:t>
      </w:r>
      <w:r w:rsidR="009B36C9" w:rsidRPr="00AA64AE">
        <w:rPr>
          <w:lang w:val="en-GB"/>
        </w:rPr>
        <w:t>since</w:t>
      </w:r>
      <w:r w:rsidR="00B75ADB" w:rsidRPr="00AA64AE">
        <w:rPr>
          <w:lang w:val="en-GB"/>
        </w:rPr>
        <w:t xml:space="preserve"> the continuation requirement is not met.</w:t>
      </w:r>
    </w:p>
    <w:p w14:paraId="3FBC0312" w14:textId="53112C50" w:rsidR="00B06D6D" w:rsidRPr="00AA64AE" w:rsidRDefault="00C92B46" w:rsidP="00B06D6D">
      <w:pPr>
        <w:autoSpaceDE w:val="0"/>
        <w:autoSpaceDN w:val="0"/>
        <w:adjustRightInd w:val="0"/>
        <w:spacing w:line="360" w:lineRule="auto"/>
        <w:ind w:left="720"/>
        <w:jc w:val="both"/>
        <w:rPr>
          <w:lang w:val="en-GB"/>
        </w:rPr>
      </w:pPr>
      <w:r w:rsidRPr="00AA64AE">
        <w:rPr>
          <w:lang w:val="en-GB"/>
        </w:rPr>
        <w:t xml:space="preserve">Defendant Y would like to underline that </w:t>
      </w:r>
      <w:r w:rsidR="00EA7EDE">
        <w:rPr>
          <w:lang w:val="en-GB"/>
        </w:rPr>
        <w:t>Plaintiff I</w:t>
      </w:r>
      <w:r w:rsidR="00F32585" w:rsidRPr="00AA64AE">
        <w:rPr>
          <w:lang w:val="en-GB"/>
        </w:rPr>
        <w:t xml:space="preserve"> would become entitled to his jubilee award on</w:t>
      </w:r>
      <w:r w:rsidR="00082AE2" w:rsidRPr="00AA64AE">
        <w:rPr>
          <w:lang w:val="en-GB"/>
        </w:rPr>
        <w:t xml:space="preserve"> the</w:t>
      </w:r>
      <w:r w:rsidR="00F36D96">
        <w:rPr>
          <w:lang w:val="en-GB"/>
        </w:rPr>
        <w:t xml:space="preserve"> 1.01.</w:t>
      </w:r>
      <w:r w:rsidR="00A65E75" w:rsidRPr="00AA64AE">
        <w:rPr>
          <w:lang w:val="en-GB"/>
        </w:rPr>
        <w:t>2016</w:t>
      </w:r>
      <w:r w:rsidR="00F32585" w:rsidRPr="00AA64AE">
        <w:rPr>
          <w:lang w:val="en-GB"/>
        </w:rPr>
        <w:t xml:space="preserve">, as the </w:t>
      </w:r>
      <w:r w:rsidR="00F36D96">
        <w:rPr>
          <w:lang w:val="en-GB"/>
        </w:rPr>
        <w:t>31.12.</w:t>
      </w:r>
      <w:r w:rsidR="00082AE2" w:rsidRPr="00AA64AE">
        <w:rPr>
          <w:lang w:val="en-GB"/>
        </w:rPr>
        <w:t>2</w:t>
      </w:r>
      <w:r w:rsidR="00A65E75" w:rsidRPr="00AA64AE">
        <w:rPr>
          <w:lang w:val="en-GB"/>
        </w:rPr>
        <w:t>015</w:t>
      </w:r>
      <w:r w:rsidR="00082AE2" w:rsidRPr="00AA64AE">
        <w:rPr>
          <w:lang w:val="en-GB"/>
        </w:rPr>
        <w:t xml:space="preserve"> was the last day of his</w:t>
      </w:r>
      <w:r w:rsidR="00302D03" w:rsidRPr="00AA64AE">
        <w:rPr>
          <w:lang w:val="en-GB"/>
        </w:rPr>
        <w:t xml:space="preserve"> second</w:t>
      </w:r>
      <w:r w:rsidR="00082AE2" w:rsidRPr="00AA64AE">
        <w:rPr>
          <w:lang w:val="en-GB"/>
        </w:rPr>
        <w:t xml:space="preserve"> decade of work at X. However, since he did not acquire his jubilee award when still employed with X under the old collective agreement, he cannot be granted the jubilee award under the new agreement either, as it does not apply to Y, so there is no legal basis for granting </w:t>
      </w:r>
      <w:r w:rsidR="00EA7EDE">
        <w:rPr>
          <w:lang w:val="en-GB"/>
        </w:rPr>
        <w:t xml:space="preserve">Plaintiff </w:t>
      </w:r>
      <w:r w:rsidR="007373CF">
        <w:rPr>
          <w:lang w:val="en-GB"/>
        </w:rPr>
        <w:t>I</w:t>
      </w:r>
      <w:r w:rsidR="00F36D96">
        <w:rPr>
          <w:lang w:val="en-GB"/>
        </w:rPr>
        <w:t xml:space="preserve"> a jubilee award on 1.01.</w:t>
      </w:r>
      <w:r w:rsidR="00B06D6D" w:rsidRPr="00AA64AE">
        <w:rPr>
          <w:lang w:val="en-GB"/>
        </w:rPr>
        <w:t>2016.</w:t>
      </w:r>
    </w:p>
    <w:p w14:paraId="72CA6997" w14:textId="2ACE8EB3" w:rsidR="00B06D6D" w:rsidRPr="00AA64AE" w:rsidRDefault="00B06D6D" w:rsidP="00B06D6D">
      <w:pPr>
        <w:autoSpaceDE w:val="0"/>
        <w:autoSpaceDN w:val="0"/>
        <w:adjustRightInd w:val="0"/>
        <w:spacing w:line="360" w:lineRule="auto"/>
        <w:ind w:left="720"/>
        <w:jc w:val="both"/>
        <w:rPr>
          <w:lang w:val="en-GB"/>
        </w:rPr>
      </w:pPr>
      <w:r w:rsidRPr="00AA64AE">
        <w:rPr>
          <w:noProof/>
          <w:color w:val="353535"/>
        </w:rPr>
        <w:drawing>
          <wp:inline distT="0" distB="0" distL="0" distR="0" wp14:anchorId="1CF15EB1" wp14:editId="58579E83">
            <wp:extent cx="5214390" cy="2434525"/>
            <wp:effectExtent l="0" t="0" r="0" b="444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0181" cy="2516599"/>
                    </a:xfrm>
                    <a:prstGeom prst="rect">
                      <a:avLst/>
                    </a:prstGeom>
                    <a:noFill/>
                    <a:ln>
                      <a:noFill/>
                    </a:ln>
                  </pic:spPr>
                </pic:pic>
              </a:graphicData>
            </a:graphic>
          </wp:inline>
        </w:drawing>
      </w:r>
    </w:p>
    <w:p w14:paraId="4123A747" w14:textId="77777777" w:rsidR="00847E15" w:rsidRPr="00AA64AE" w:rsidRDefault="00847E15" w:rsidP="0034255E">
      <w:pPr>
        <w:autoSpaceDE w:val="0"/>
        <w:autoSpaceDN w:val="0"/>
        <w:adjustRightInd w:val="0"/>
        <w:spacing w:line="360" w:lineRule="auto"/>
        <w:ind w:left="720"/>
        <w:jc w:val="both"/>
        <w:rPr>
          <w:lang w:val="en-GB"/>
        </w:rPr>
      </w:pPr>
    </w:p>
    <w:p w14:paraId="32E192E8" w14:textId="6EC6F34B" w:rsidR="00B75ADB" w:rsidRDefault="00103836" w:rsidP="0034255E">
      <w:pPr>
        <w:autoSpaceDE w:val="0"/>
        <w:autoSpaceDN w:val="0"/>
        <w:adjustRightInd w:val="0"/>
        <w:spacing w:line="360" w:lineRule="auto"/>
        <w:ind w:left="720"/>
        <w:jc w:val="both"/>
        <w:rPr>
          <w:lang w:val="en-GB"/>
        </w:rPr>
      </w:pPr>
      <w:r w:rsidRPr="00AA64AE">
        <w:rPr>
          <w:lang w:val="en-GB"/>
        </w:rPr>
        <w:t xml:space="preserve">Furthermore, </w:t>
      </w:r>
      <w:r w:rsidR="009B36C9" w:rsidRPr="00AA64AE">
        <w:rPr>
          <w:lang w:val="en-GB"/>
        </w:rPr>
        <w:t xml:space="preserve">in </w:t>
      </w:r>
      <w:r w:rsidRPr="00AA64AE">
        <w:rPr>
          <w:lang w:val="en-GB"/>
        </w:rPr>
        <w:t xml:space="preserve">the </w:t>
      </w:r>
      <w:r w:rsidR="009B36C9" w:rsidRPr="00AA64AE">
        <w:rPr>
          <w:i/>
          <w:lang w:val="en-GB"/>
        </w:rPr>
        <w:t>Juuri</w:t>
      </w:r>
      <w:r w:rsidR="009B36C9" w:rsidRPr="00AA64AE">
        <w:rPr>
          <w:lang w:val="en-GB"/>
        </w:rPr>
        <w:t xml:space="preserve"> case, the </w:t>
      </w:r>
      <w:r w:rsidRPr="00AA64AE">
        <w:rPr>
          <w:lang w:val="en-GB"/>
        </w:rPr>
        <w:t>CJEU</w:t>
      </w:r>
      <w:r w:rsidR="00B51ECF" w:rsidRPr="00AA64AE">
        <w:rPr>
          <w:lang w:val="en-GB"/>
        </w:rPr>
        <w:t xml:space="preserve"> </w:t>
      </w:r>
      <w:r w:rsidRPr="00AA64AE">
        <w:rPr>
          <w:lang w:val="en-GB"/>
        </w:rPr>
        <w:t>had already investigated</w:t>
      </w:r>
      <w:r w:rsidR="00B75ADB" w:rsidRPr="00AA64AE">
        <w:rPr>
          <w:lang w:val="en-GB"/>
        </w:rPr>
        <w:t xml:space="preserve"> the situation when the </w:t>
      </w:r>
      <w:r w:rsidRPr="00AA64AE">
        <w:rPr>
          <w:lang w:val="en-GB"/>
        </w:rPr>
        <w:t>date of expiry of a collective</w:t>
      </w:r>
      <w:r w:rsidR="00815301">
        <w:rPr>
          <w:lang w:val="en-GB"/>
        </w:rPr>
        <w:t xml:space="preserve"> </w:t>
      </w:r>
      <w:r w:rsidRPr="00AA64AE">
        <w:rPr>
          <w:lang w:val="en-GB"/>
        </w:rPr>
        <w:t>agreement coincided with</w:t>
      </w:r>
      <w:r w:rsidR="00B75ADB" w:rsidRPr="00AA64AE">
        <w:rPr>
          <w:lang w:val="en-GB"/>
        </w:rPr>
        <w:t xml:space="preserve"> the date of transfer. </w:t>
      </w:r>
      <w:r w:rsidR="0040784A" w:rsidRPr="00AA64AE">
        <w:rPr>
          <w:lang w:val="en-GB"/>
        </w:rPr>
        <w:t>The C</w:t>
      </w:r>
      <w:r w:rsidR="007104D5" w:rsidRPr="00AA64AE">
        <w:rPr>
          <w:lang w:val="en-GB"/>
        </w:rPr>
        <w:t xml:space="preserve">ourt started clearly that the 2001/23 Directive does not require the transferee to observe the collective agreement binding at the transferor after the date of its expiry, even </w:t>
      </w:r>
      <w:r w:rsidR="0040784A" w:rsidRPr="00AA64AE">
        <w:rPr>
          <w:lang w:val="en-GB"/>
        </w:rPr>
        <w:t>in case where</w:t>
      </w:r>
      <w:r w:rsidR="007104D5" w:rsidRPr="00AA64AE">
        <w:rPr>
          <w:lang w:val="en-GB"/>
        </w:rPr>
        <w:t xml:space="preserve"> </w:t>
      </w:r>
      <w:r w:rsidR="0040784A" w:rsidRPr="00AA64AE">
        <w:rPr>
          <w:lang w:val="en-GB"/>
        </w:rPr>
        <w:t>“</w:t>
      </w:r>
      <w:r w:rsidR="007104D5" w:rsidRPr="00AA64AE">
        <w:rPr>
          <w:i/>
          <w:lang w:val="en-GB"/>
        </w:rPr>
        <w:t>that date coincides with the date on which the undertaking was transferred</w:t>
      </w:r>
      <w:r w:rsidR="0040784A" w:rsidRPr="00AA64AE">
        <w:rPr>
          <w:lang w:val="en-GB"/>
        </w:rPr>
        <w:t>”</w:t>
      </w:r>
      <w:r w:rsidR="007104D5" w:rsidRPr="00AA64AE">
        <w:rPr>
          <w:rStyle w:val="Voetnootmarkering"/>
          <w:lang w:val="en-GB"/>
        </w:rPr>
        <w:footnoteReference w:id="29"/>
      </w:r>
      <w:r w:rsidR="007104D5" w:rsidRPr="00AA64AE">
        <w:rPr>
          <w:lang w:val="en-GB"/>
        </w:rPr>
        <w:t xml:space="preserve">. </w:t>
      </w:r>
      <w:r w:rsidR="00B75ADB" w:rsidRPr="00AA64AE">
        <w:rPr>
          <w:lang w:val="en-GB"/>
        </w:rPr>
        <w:t>The Court</w:t>
      </w:r>
      <w:r w:rsidR="00665970" w:rsidRPr="00AA64AE">
        <w:rPr>
          <w:lang w:val="en-GB"/>
        </w:rPr>
        <w:t xml:space="preserve"> also</w:t>
      </w:r>
      <w:r w:rsidR="00B75ADB" w:rsidRPr="00AA64AE">
        <w:rPr>
          <w:lang w:val="en-GB"/>
        </w:rPr>
        <w:t xml:space="preserve"> discussed situations where a contract of employment refers to a collective agreement binding the transferor, and there is a subsequent agreement to the one which was in force at the time of the transfer</w:t>
      </w:r>
      <w:r w:rsidR="00B75ADB" w:rsidRPr="00AA64AE">
        <w:rPr>
          <w:rStyle w:val="Voetnootmarkering"/>
          <w:lang w:val="en-GB"/>
        </w:rPr>
        <w:footnoteReference w:id="30"/>
      </w:r>
      <w:r w:rsidR="00B75ADB" w:rsidRPr="00AA64AE">
        <w:rPr>
          <w:lang w:val="en-GB"/>
        </w:rPr>
        <w:t xml:space="preserve">; as well as the problem whether collective agreements negotiated and adopted after the date of transfer </w:t>
      </w:r>
      <w:r w:rsidR="00B75ADB" w:rsidRPr="00AA64AE">
        <w:rPr>
          <w:lang w:val="en-GB"/>
        </w:rPr>
        <w:lastRenderedPageBreak/>
        <w:t>are enforceable against the transferee</w:t>
      </w:r>
      <w:r w:rsidR="00B75ADB" w:rsidRPr="00AA64AE">
        <w:rPr>
          <w:rStyle w:val="Voetnootmarkering"/>
          <w:lang w:val="en-GB"/>
        </w:rPr>
        <w:footnoteReference w:id="31"/>
      </w:r>
      <w:r w:rsidR="00B75ADB" w:rsidRPr="00AA64AE">
        <w:rPr>
          <w:lang w:val="en-GB"/>
        </w:rPr>
        <w:t xml:space="preserve">. </w:t>
      </w:r>
      <w:r w:rsidR="00425D81">
        <w:rPr>
          <w:lang w:val="en-GB"/>
        </w:rPr>
        <w:t>No</w:t>
      </w:r>
      <w:r w:rsidR="00B75ADB" w:rsidRPr="00AA64AE">
        <w:rPr>
          <w:lang w:val="en-GB"/>
        </w:rPr>
        <w:t xml:space="preserve"> case concerning such a unique time coincidence as present in the case at hand </w:t>
      </w:r>
      <w:r w:rsidR="00425D81">
        <w:rPr>
          <w:lang w:val="en-GB"/>
        </w:rPr>
        <w:t xml:space="preserve">has </w:t>
      </w:r>
      <w:r w:rsidR="0073764B" w:rsidRPr="00AA64AE">
        <w:rPr>
          <w:lang w:val="en-GB"/>
        </w:rPr>
        <w:t>ever been investigated</w:t>
      </w:r>
      <w:r w:rsidR="00B75ADB" w:rsidRPr="00AA64AE">
        <w:rPr>
          <w:lang w:val="en-GB"/>
        </w:rPr>
        <w:t>. What needs to be taken into account</w:t>
      </w:r>
      <w:r w:rsidR="0073764B" w:rsidRPr="00AA64AE">
        <w:rPr>
          <w:lang w:val="en-GB"/>
        </w:rPr>
        <w:t xml:space="preserve"> though,</w:t>
      </w:r>
      <w:r w:rsidR="00B75ADB" w:rsidRPr="00AA64AE">
        <w:rPr>
          <w:lang w:val="en-GB"/>
        </w:rPr>
        <w:t xml:space="preserve"> is the fact that </w:t>
      </w:r>
      <w:r w:rsidR="0073764B" w:rsidRPr="00AA64AE">
        <w:rPr>
          <w:lang w:val="en-GB"/>
        </w:rPr>
        <w:t>the Directive</w:t>
      </w:r>
      <w:r w:rsidR="000F7F45" w:rsidRPr="00AA64AE">
        <w:rPr>
          <w:lang w:val="en-GB"/>
        </w:rPr>
        <w:t xml:space="preserve"> is not intended to protect only the employees and their interests, but </w:t>
      </w:r>
      <w:r w:rsidR="00E37471" w:rsidRPr="00AA64AE">
        <w:rPr>
          <w:lang w:val="en-GB"/>
        </w:rPr>
        <w:t>it actually</w:t>
      </w:r>
      <w:r w:rsidR="000F7F45" w:rsidRPr="00AA64AE">
        <w:rPr>
          <w:lang w:val="en-GB"/>
        </w:rPr>
        <w:t xml:space="preserve"> “</w:t>
      </w:r>
      <w:r w:rsidR="00B75ADB" w:rsidRPr="00AA64AE">
        <w:rPr>
          <w:i/>
          <w:lang w:val="en-GB"/>
        </w:rPr>
        <w:t xml:space="preserve">seeks to ensure </w:t>
      </w:r>
      <w:r w:rsidR="00B75ADB" w:rsidRPr="00AA64AE">
        <w:rPr>
          <w:b/>
          <w:i/>
          <w:lang w:val="en-GB"/>
        </w:rPr>
        <w:t>a fair balance</w:t>
      </w:r>
      <w:r w:rsidR="00E72D19" w:rsidRPr="00AA64AE">
        <w:rPr>
          <w:i/>
          <w:lang w:val="en-GB"/>
        </w:rPr>
        <w:t xml:space="preserve"> between the interests of</w:t>
      </w:r>
      <w:r w:rsidR="00B75ADB" w:rsidRPr="00AA64AE">
        <w:rPr>
          <w:i/>
          <w:lang w:val="en-GB"/>
        </w:rPr>
        <w:t xml:space="preserve"> employees, on the one hand, and those of the transferee, on the other</w:t>
      </w:r>
      <w:r w:rsidR="0073764B" w:rsidRPr="00AA64AE">
        <w:rPr>
          <w:lang w:val="en-GB"/>
        </w:rPr>
        <w:t>”</w:t>
      </w:r>
      <w:r w:rsidR="00B75ADB" w:rsidRPr="00AA64AE">
        <w:rPr>
          <w:rStyle w:val="Voetnootmarkering"/>
          <w:lang w:val="en-GB"/>
        </w:rPr>
        <w:footnoteReference w:id="32"/>
      </w:r>
      <w:r w:rsidR="00B75ADB" w:rsidRPr="00AA64AE">
        <w:rPr>
          <w:lang w:val="en-GB"/>
        </w:rPr>
        <w:t xml:space="preserve">. </w:t>
      </w:r>
      <w:r w:rsidR="000F7F45" w:rsidRPr="00AA64AE">
        <w:rPr>
          <w:lang w:val="en-GB"/>
        </w:rPr>
        <w:t xml:space="preserve">The CJEU underlined the importance of the Charter of Fundamental Rights of the </w:t>
      </w:r>
      <w:r w:rsidR="00D82A30" w:rsidRPr="00AA64AE">
        <w:rPr>
          <w:lang w:val="en-GB"/>
        </w:rPr>
        <w:t>EU</w:t>
      </w:r>
      <w:r w:rsidR="000F7F45" w:rsidRPr="00AA64AE">
        <w:rPr>
          <w:lang w:val="en-GB"/>
        </w:rPr>
        <w:t xml:space="preserve"> and stated that the Directive must be i</w:t>
      </w:r>
      <w:r w:rsidR="00D82A30" w:rsidRPr="00AA64AE">
        <w:rPr>
          <w:lang w:val="en-GB"/>
        </w:rPr>
        <w:t>nterpreted in accordance with source of primary EU law</w:t>
      </w:r>
      <w:r w:rsidR="000F7F45" w:rsidRPr="00AA64AE">
        <w:rPr>
          <w:lang w:val="en-GB"/>
        </w:rPr>
        <w:t>. Especially</w:t>
      </w:r>
      <w:r w:rsidR="00624FE6" w:rsidRPr="00AA64AE">
        <w:rPr>
          <w:lang w:val="en-GB"/>
        </w:rPr>
        <w:t>,</w:t>
      </w:r>
      <w:r w:rsidR="000F7F45" w:rsidRPr="00AA64AE">
        <w:rPr>
          <w:lang w:val="en-GB"/>
        </w:rPr>
        <w:t xml:space="preserve"> the freedom of contract was considered as one of </w:t>
      </w:r>
      <w:r w:rsidR="00624FE6" w:rsidRPr="00AA64AE">
        <w:rPr>
          <w:lang w:val="en-GB"/>
        </w:rPr>
        <w:t xml:space="preserve">the most </w:t>
      </w:r>
      <w:r w:rsidR="000F7F45" w:rsidRPr="00AA64AE">
        <w:rPr>
          <w:lang w:val="en-GB"/>
        </w:rPr>
        <w:t>essential rights in this contex</w:t>
      </w:r>
      <w:r w:rsidR="00624FE6" w:rsidRPr="00AA64AE">
        <w:rPr>
          <w:lang w:val="en-GB"/>
        </w:rPr>
        <w:t>t</w:t>
      </w:r>
      <w:r w:rsidR="00E72D19" w:rsidRPr="00AA64AE">
        <w:rPr>
          <w:lang w:val="en-GB"/>
        </w:rPr>
        <w:t xml:space="preserve">. The Court stated that the transferee </w:t>
      </w:r>
      <w:r w:rsidR="0034255E" w:rsidRPr="00AA64AE">
        <w:rPr>
          <w:lang w:val="en-GB"/>
        </w:rPr>
        <w:t>must</w:t>
      </w:r>
      <w:r w:rsidR="00E72D19" w:rsidRPr="00AA64AE">
        <w:rPr>
          <w:lang w:val="en-GB"/>
        </w:rPr>
        <w:t xml:space="preserve"> be able to </w:t>
      </w:r>
      <w:r w:rsidR="001549B8" w:rsidRPr="00EF2DCB">
        <w:rPr>
          <w:b/>
          <w:i/>
          <w:lang w:val="en-GB"/>
        </w:rPr>
        <w:t>assert</w:t>
      </w:r>
      <w:r w:rsidR="0034255E" w:rsidRPr="00EF2DCB">
        <w:rPr>
          <w:b/>
          <w:i/>
          <w:lang w:val="en-GB"/>
        </w:rPr>
        <w:t xml:space="preserve"> its interests effectively in a contractual process</w:t>
      </w:r>
      <w:r w:rsidR="0034255E" w:rsidRPr="00AA64AE">
        <w:rPr>
          <w:i/>
          <w:lang w:val="en-GB"/>
        </w:rPr>
        <w:t xml:space="preserve"> to which it is party and is able to negotiate the aspects determining changes in the working conditions of its employees with a view to its future economic activity</w:t>
      </w:r>
      <w:r w:rsidR="0034255E" w:rsidRPr="00AA64AE">
        <w:rPr>
          <w:rStyle w:val="Voetnootmarkering"/>
          <w:lang w:val="en-GB"/>
        </w:rPr>
        <w:footnoteReference w:id="33"/>
      </w:r>
      <w:r w:rsidR="0034255E" w:rsidRPr="00AA64AE">
        <w:rPr>
          <w:lang w:val="en-GB"/>
        </w:rPr>
        <w:t xml:space="preserve">. </w:t>
      </w:r>
      <w:r w:rsidR="00B75ADB" w:rsidRPr="00AA64AE">
        <w:rPr>
          <w:lang w:val="en-GB"/>
        </w:rPr>
        <w:t>In this case the CJEU decided that dynamic clauses referring to collective agreements negotiated and adopted after the date of transfer are enforceable against the transferee. However, where that transferee does not have the possibility of participating in the negotiation process of such collective agreements concluded after the date of the transfer</w:t>
      </w:r>
      <w:r w:rsidR="0034255E" w:rsidRPr="00AA64AE">
        <w:rPr>
          <w:lang w:val="en-GB"/>
        </w:rPr>
        <w:t>,</w:t>
      </w:r>
      <w:r w:rsidR="00B75ADB" w:rsidRPr="00AA64AE">
        <w:rPr>
          <w:lang w:val="en-GB"/>
        </w:rPr>
        <w:t xml:space="preserve"> the terms</w:t>
      </w:r>
      <w:r w:rsidR="0034255E" w:rsidRPr="00AA64AE">
        <w:rPr>
          <w:lang w:val="en-GB"/>
        </w:rPr>
        <w:t xml:space="preserve"> thereof</w:t>
      </w:r>
      <w:r w:rsidR="00B75ADB" w:rsidRPr="00AA64AE">
        <w:rPr>
          <w:lang w:val="en-GB"/>
        </w:rPr>
        <w:t xml:space="preserve"> cannot bind him, as they are not in line with the interpretation of the Directive</w:t>
      </w:r>
      <w:r w:rsidR="00B75ADB" w:rsidRPr="00AA64AE">
        <w:rPr>
          <w:rStyle w:val="Voetnootmarkering"/>
          <w:lang w:val="en-GB"/>
        </w:rPr>
        <w:footnoteReference w:id="34"/>
      </w:r>
      <w:r w:rsidR="00B75ADB" w:rsidRPr="00AA64AE">
        <w:rPr>
          <w:lang w:val="en-GB"/>
        </w:rPr>
        <w:t>.</w:t>
      </w:r>
      <w:r w:rsidR="004D4E16" w:rsidRPr="00AA64AE">
        <w:rPr>
          <w:lang w:val="en-GB"/>
        </w:rPr>
        <w:t xml:space="preserve"> </w:t>
      </w:r>
      <w:r w:rsidR="00B274FD" w:rsidRPr="00AA64AE">
        <w:rPr>
          <w:lang w:val="en-GB"/>
        </w:rPr>
        <w:t>Comparing this to our case, t</w:t>
      </w:r>
      <w:r w:rsidR="004D4E16" w:rsidRPr="00AA64AE">
        <w:rPr>
          <w:lang w:val="en-GB"/>
        </w:rPr>
        <w:t>he Employer X must have been aware of the situation and the issue of a potential transfer of undertaking when the new</w:t>
      </w:r>
      <w:r w:rsidR="00851C4C" w:rsidRPr="00AA64AE">
        <w:rPr>
          <w:lang w:val="en-GB"/>
        </w:rPr>
        <w:t xml:space="preserve"> collective agreement was negotiated. He</w:t>
      </w:r>
      <w:r w:rsidR="00EF2DCB">
        <w:rPr>
          <w:lang w:val="en-GB"/>
        </w:rPr>
        <w:t xml:space="preserve"> probably</w:t>
      </w:r>
      <w:r w:rsidR="00851C4C" w:rsidRPr="00AA64AE">
        <w:rPr>
          <w:lang w:val="en-GB"/>
        </w:rPr>
        <w:t xml:space="preserve"> knew that those employees, whose employment contracts were terminated and who were to be </w:t>
      </w:r>
      <w:r w:rsidR="00E7364C" w:rsidRPr="00AA64AE">
        <w:rPr>
          <w:lang w:val="en-GB"/>
        </w:rPr>
        <w:t>(</w:t>
      </w:r>
      <w:r w:rsidR="00851C4C" w:rsidRPr="00AA64AE">
        <w:rPr>
          <w:lang w:val="en-GB"/>
        </w:rPr>
        <w:t>potentially</w:t>
      </w:r>
      <w:r w:rsidR="00E7364C" w:rsidRPr="00AA64AE">
        <w:rPr>
          <w:lang w:val="en-GB"/>
        </w:rPr>
        <w:t>)</w:t>
      </w:r>
      <w:r w:rsidR="00851C4C" w:rsidRPr="00AA64AE">
        <w:rPr>
          <w:lang w:val="en-GB"/>
        </w:rPr>
        <w:t xml:space="preserve"> transferred to Y</w:t>
      </w:r>
      <w:r w:rsidR="00BC6138" w:rsidRPr="00AA64AE">
        <w:rPr>
          <w:lang w:val="en-GB"/>
        </w:rPr>
        <w:t>,</w:t>
      </w:r>
      <w:r w:rsidR="00851C4C" w:rsidRPr="00AA64AE">
        <w:rPr>
          <w:lang w:val="en-GB"/>
        </w:rPr>
        <w:t xml:space="preserve"> would never be covered by the new collective agreement at X. </w:t>
      </w:r>
      <w:r w:rsidR="00BC6138" w:rsidRPr="00AA64AE">
        <w:rPr>
          <w:lang w:val="en-GB"/>
        </w:rPr>
        <w:t>So, he negotiated an agreement which was to cover</w:t>
      </w:r>
      <w:r w:rsidR="00D31323" w:rsidRPr="00AA64AE">
        <w:rPr>
          <w:lang w:val="en-GB"/>
        </w:rPr>
        <w:t xml:space="preserve"> a part of his</w:t>
      </w:r>
      <w:r w:rsidR="00BC6138" w:rsidRPr="00AA64AE">
        <w:rPr>
          <w:lang w:val="en-GB"/>
        </w:rPr>
        <w:t xml:space="preserve"> employees only upon their transfer to Y. </w:t>
      </w:r>
      <w:r w:rsidR="00851C4C" w:rsidRPr="00AA64AE">
        <w:rPr>
          <w:lang w:val="en-GB"/>
        </w:rPr>
        <w:t xml:space="preserve">Therefore, </w:t>
      </w:r>
      <w:r w:rsidR="00BC6138" w:rsidRPr="00AA64AE">
        <w:rPr>
          <w:lang w:val="en-GB"/>
        </w:rPr>
        <w:t>considering that Defendant Y did not take part in the negotiations and was n</w:t>
      </w:r>
      <w:r w:rsidR="00684559">
        <w:rPr>
          <w:lang w:val="en-GB"/>
        </w:rPr>
        <w:t>ot a party to this agreement, he</w:t>
      </w:r>
      <w:r w:rsidR="00851C4C" w:rsidRPr="00AA64AE">
        <w:rPr>
          <w:lang w:val="en-GB"/>
        </w:rPr>
        <w:t xml:space="preserve"> should not be covered by </w:t>
      </w:r>
      <w:r w:rsidR="00BC6138" w:rsidRPr="00AA64AE">
        <w:rPr>
          <w:lang w:val="en-GB"/>
        </w:rPr>
        <w:t>it</w:t>
      </w:r>
      <w:r w:rsidR="002A0173" w:rsidRPr="00AA64AE">
        <w:rPr>
          <w:lang w:val="en-GB"/>
        </w:rPr>
        <w:t>, as</w:t>
      </w:r>
      <w:r w:rsidR="00BC6138" w:rsidRPr="00AA64AE">
        <w:rPr>
          <w:lang w:val="en-GB"/>
        </w:rPr>
        <w:t xml:space="preserve"> </w:t>
      </w:r>
      <w:r w:rsidR="00851C4C" w:rsidRPr="00AA64AE">
        <w:rPr>
          <w:lang w:val="en-GB"/>
        </w:rPr>
        <w:t xml:space="preserve">it </w:t>
      </w:r>
      <w:r w:rsidR="00BC6138" w:rsidRPr="00AA64AE">
        <w:rPr>
          <w:lang w:val="en-GB"/>
        </w:rPr>
        <w:t>adversely affects</w:t>
      </w:r>
      <w:r w:rsidR="00851C4C" w:rsidRPr="00AA64AE">
        <w:rPr>
          <w:lang w:val="en-GB"/>
        </w:rPr>
        <w:t xml:space="preserve"> his freedom of contract.</w:t>
      </w:r>
    </w:p>
    <w:p w14:paraId="3D0A3765" w14:textId="73F569F8" w:rsidR="00C71861" w:rsidRPr="00AA64AE" w:rsidRDefault="00C71861" w:rsidP="00EA7EDE">
      <w:pPr>
        <w:autoSpaceDE w:val="0"/>
        <w:autoSpaceDN w:val="0"/>
        <w:adjustRightInd w:val="0"/>
        <w:spacing w:line="360" w:lineRule="auto"/>
        <w:ind w:left="720"/>
        <w:jc w:val="both"/>
        <w:rPr>
          <w:lang w:val="en-GB"/>
        </w:rPr>
      </w:pPr>
      <w:r>
        <w:rPr>
          <w:lang w:val="en-GB"/>
        </w:rPr>
        <w:t>Besides,</w:t>
      </w:r>
      <w:r w:rsidR="004B69E6">
        <w:rPr>
          <w:lang w:val="en-GB"/>
        </w:rPr>
        <w:t xml:space="preserve"> Section 282(2) of the Hungarian Labour Code provides that obligation to maintain working conditions specified in the collective agreement binding at the transferor does not apply to the transferee if “</w:t>
      </w:r>
      <w:r w:rsidR="004B69E6" w:rsidRPr="00460DEF">
        <w:rPr>
          <w:i/>
          <w:lang w:val="en-GB"/>
        </w:rPr>
        <w:t>the employment relationship is covered by a collec</w:t>
      </w:r>
      <w:r w:rsidR="00460DEF" w:rsidRPr="00460DEF">
        <w:rPr>
          <w:i/>
          <w:lang w:val="en-GB"/>
        </w:rPr>
        <w:t>tive agreement after the date of transfer</w:t>
      </w:r>
      <w:r w:rsidR="00460DEF">
        <w:rPr>
          <w:lang w:val="en-GB"/>
        </w:rPr>
        <w:t>”.</w:t>
      </w:r>
      <w:r w:rsidR="00237256">
        <w:rPr>
          <w:lang w:val="en-GB"/>
        </w:rPr>
        <w:t xml:space="preserve"> </w:t>
      </w:r>
      <w:r w:rsidR="00EA7EDE">
        <w:rPr>
          <w:lang w:val="en-GB"/>
        </w:rPr>
        <w:t>Plaintiff I</w:t>
      </w:r>
      <w:r w:rsidR="00237256">
        <w:rPr>
          <w:lang w:val="en-GB"/>
        </w:rPr>
        <w:t xml:space="preserve"> was explicitly informed that Defendant Y has its own collective agreement which </w:t>
      </w:r>
      <w:r w:rsidR="000618DB">
        <w:rPr>
          <w:lang w:val="en-GB"/>
        </w:rPr>
        <w:t>would</w:t>
      </w:r>
      <w:r w:rsidR="00B00F72">
        <w:rPr>
          <w:lang w:val="en-GB"/>
        </w:rPr>
        <w:t xml:space="preserve"> cover the</w:t>
      </w:r>
      <w:r w:rsidR="00237256">
        <w:rPr>
          <w:lang w:val="en-GB"/>
        </w:rPr>
        <w:t xml:space="preserve"> X’s </w:t>
      </w:r>
      <w:r w:rsidR="00B00F72">
        <w:rPr>
          <w:lang w:val="en-GB"/>
        </w:rPr>
        <w:t xml:space="preserve">employees to </w:t>
      </w:r>
      <w:r w:rsidR="00B00F72">
        <w:rPr>
          <w:lang w:val="en-GB"/>
        </w:rPr>
        <w:lastRenderedPageBreak/>
        <w:t xml:space="preserve">be </w:t>
      </w:r>
      <w:r w:rsidR="00237256">
        <w:rPr>
          <w:lang w:val="en-GB"/>
        </w:rPr>
        <w:t>hired</w:t>
      </w:r>
      <w:r w:rsidR="00051A85">
        <w:rPr>
          <w:lang w:val="en-GB"/>
        </w:rPr>
        <w:t xml:space="preserve"> by Y</w:t>
      </w:r>
      <w:r w:rsidR="00237256">
        <w:rPr>
          <w:lang w:val="en-GB"/>
        </w:rPr>
        <w:t xml:space="preserve">, since </w:t>
      </w:r>
      <w:r w:rsidR="001266D5">
        <w:rPr>
          <w:lang w:val="en-GB"/>
        </w:rPr>
        <w:t>Defendant</w:t>
      </w:r>
      <w:r w:rsidR="00237256">
        <w:rPr>
          <w:lang w:val="en-GB"/>
        </w:rPr>
        <w:t xml:space="preserve"> Y stated clearly that it “</w:t>
      </w:r>
      <w:r w:rsidR="00237256" w:rsidRPr="00237256">
        <w:rPr>
          <w:i/>
          <w:lang w:val="en-GB"/>
        </w:rPr>
        <w:t>did not see any possibilities</w:t>
      </w:r>
      <w:r w:rsidR="00237256">
        <w:rPr>
          <w:lang w:val="en-GB"/>
        </w:rPr>
        <w:t>” to pay jubilee award in future.</w:t>
      </w:r>
    </w:p>
    <w:p w14:paraId="09B972C4" w14:textId="7E9C727D" w:rsidR="00593D48" w:rsidRPr="001028E1" w:rsidRDefault="00760E7A" w:rsidP="001028E1">
      <w:pPr>
        <w:autoSpaceDE w:val="0"/>
        <w:autoSpaceDN w:val="0"/>
        <w:adjustRightInd w:val="0"/>
        <w:spacing w:line="360" w:lineRule="auto"/>
        <w:ind w:left="720"/>
        <w:jc w:val="both"/>
        <w:rPr>
          <w:lang w:val="en-GB"/>
        </w:rPr>
      </w:pPr>
      <w:r w:rsidRPr="00AA64AE">
        <w:rPr>
          <w:lang w:val="en-GB"/>
        </w:rPr>
        <w:t>Summing up</w:t>
      </w:r>
      <w:r w:rsidR="00B75ADB" w:rsidRPr="00AA64AE">
        <w:rPr>
          <w:lang w:val="en-GB"/>
        </w:rPr>
        <w:t xml:space="preserve">, in our case, the possible transfer of undertaking would be an extremely complicated mosaic of agreements between three </w:t>
      </w:r>
      <w:r w:rsidR="00390E97">
        <w:rPr>
          <w:lang w:val="en-GB"/>
        </w:rPr>
        <w:t>parties</w:t>
      </w:r>
      <w:r w:rsidR="00B75ADB" w:rsidRPr="00AA64AE">
        <w:rPr>
          <w:lang w:val="en-GB"/>
        </w:rPr>
        <w:t xml:space="preserve"> that, additi</w:t>
      </w:r>
      <w:r w:rsidR="00170063" w:rsidRPr="00AA64AE">
        <w:rPr>
          <w:lang w:val="en-GB"/>
        </w:rPr>
        <w:t>onally, would be hard to place at</w:t>
      </w:r>
      <w:r w:rsidR="00B75ADB" w:rsidRPr="00AA64AE">
        <w:rPr>
          <w:lang w:val="en-GB"/>
        </w:rPr>
        <w:t xml:space="preserve"> a certa</w:t>
      </w:r>
      <w:r w:rsidR="00170063" w:rsidRPr="00AA64AE">
        <w:rPr>
          <w:lang w:val="en-GB"/>
        </w:rPr>
        <w:t>in moment in</w:t>
      </w:r>
      <w:r w:rsidR="00B75ADB" w:rsidRPr="00AA64AE">
        <w:rPr>
          <w:lang w:val="en-GB"/>
        </w:rPr>
        <w:t xml:space="preserve"> time. </w:t>
      </w:r>
      <w:r w:rsidR="00515245" w:rsidRPr="00AA64AE">
        <w:rPr>
          <w:lang w:val="en-GB"/>
        </w:rPr>
        <w:t>Under</w:t>
      </w:r>
      <w:r w:rsidR="00B75ADB" w:rsidRPr="00AA64AE">
        <w:rPr>
          <w:lang w:val="en-GB"/>
        </w:rPr>
        <w:t xml:space="preserve"> those conditions, even if the Court declared the transfer of enterprise, Employer Y would not be able to have any impact on</w:t>
      </w:r>
      <w:r w:rsidR="00390E97">
        <w:rPr>
          <w:lang w:val="en-GB"/>
        </w:rPr>
        <w:t xml:space="preserve"> conclusion and the terms of </w:t>
      </w:r>
      <w:r w:rsidR="00B75ADB" w:rsidRPr="00AA64AE">
        <w:rPr>
          <w:lang w:val="en-GB"/>
        </w:rPr>
        <w:t xml:space="preserve">collective agreement. Taking into consideration the literal reading of the Directive and the Court’s reasoning from the </w:t>
      </w:r>
      <w:r w:rsidR="00B75ADB" w:rsidRPr="00AA64AE">
        <w:rPr>
          <w:i/>
          <w:lang w:val="en-GB"/>
        </w:rPr>
        <w:t>Mark Alemo-Herron</w:t>
      </w:r>
      <w:r w:rsidR="00B75ADB" w:rsidRPr="00AA64AE">
        <w:rPr>
          <w:lang w:val="en-GB"/>
        </w:rPr>
        <w:t xml:space="preserve"> case, it should be concluded that the second collective agreement is not binding for Employer Y and</w:t>
      </w:r>
      <w:r w:rsidR="009A56E9" w:rsidRPr="00AA64AE">
        <w:rPr>
          <w:lang w:val="en-GB"/>
        </w:rPr>
        <w:t>,</w:t>
      </w:r>
      <w:r w:rsidR="00B75ADB" w:rsidRPr="00AA64AE">
        <w:rPr>
          <w:lang w:val="en-GB"/>
        </w:rPr>
        <w:t xml:space="preserve"> as a result, </w:t>
      </w:r>
      <w:r w:rsidR="00EA7EDE">
        <w:rPr>
          <w:lang w:val="en-GB"/>
        </w:rPr>
        <w:t xml:space="preserve">Plaintiff </w:t>
      </w:r>
      <w:r w:rsidR="007373CF">
        <w:rPr>
          <w:lang w:val="en-GB"/>
        </w:rPr>
        <w:t>I</w:t>
      </w:r>
      <w:r w:rsidR="00B75ADB" w:rsidRPr="00AA64AE">
        <w:rPr>
          <w:lang w:val="en-GB"/>
        </w:rPr>
        <w:t xml:space="preserve"> cannot derive the right to a jubilee award from it.</w:t>
      </w:r>
    </w:p>
    <w:p w14:paraId="7444DB20" w14:textId="77777777" w:rsidR="00B75ADB" w:rsidRPr="00AA64AE" w:rsidRDefault="00B75ADB" w:rsidP="00B75ADB">
      <w:pPr>
        <w:pStyle w:val="Akapitzlist1"/>
        <w:spacing w:line="360" w:lineRule="auto"/>
        <w:jc w:val="both"/>
        <w:rPr>
          <w:rFonts w:ascii="Times New Roman" w:hAnsi="Times New Roman" w:cs="Times New Roman"/>
          <w:b/>
          <w:lang w:val="en-GB"/>
        </w:rPr>
      </w:pPr>
    </w:p>
    <w:p w14:paraId="1097440D" w14:textId="7BE43CA1" w:rsidR="00B75ADB" w:rsidRPr="00AA64AE" w:rsidRDefault="00EA7EDE" w:rsidP="005E7284">
      <w:pPr>
        <w:pStyle w:val="Kop4"/>
      </w:pPr>
      <w:r>
        <w:t xml:space="preserve">Plaintiff </w:t>
      </w:r>
      <w:r w:rsidR="007373CF">
        <w:t>I</w:t>
      </w:r>
      <w:r w:rsidR="00204F41" w:rsidRPr="00AA64AE">
        <w:t xml:space="preserve"> </w:t>
      </w:r>
      <w:r w:rsidR="00B75ADB" w:rsidRPr="00AA64AE">
        <w:t>does not have the right to be awarded a jub</w:t>
      </w:r>
      <w:r w:rsidR="00FC53DC" w:rsidRPr="00AA64AE">
        <w:t>ilee award in case th</w:t>
      </w:r>
      <w:r w:rsidR="00F068F0" w:rsidRPr="00AA64AE">
        <w:t>e c</w:t>
      </w:r>
      <w:r w:rsidR="00FC53DC" w:rsidRPr="00AA64AE">
        <w:t>ourt</w:t>
      </w:r>
      <w:r w:rsidR="00EC3E8F" w:rsidRPr="00AA64AE">
        <w:t xml:space="preserve"> declares transfer on 1.12.2015 or 15.12.2015</w:t>
      </w:r>
    </w:p>
    <w:p w14:paraId="161A7015" w14:textId="77777777" w:rsidR="00B75ADB" w:rsidRPr="00AA64AE" w:rsidRDefault="00B75ADB" w:rsidP="00B75ADB">
      <w:pPr>
        <w:pStyle w:val="Akapitzlist1"/>
        <w:spacing w:line="360" w:lineRule="auto"/>
        <w:jc w:val="both"/>
        <w:rPr>
          <w:rFonts w:ascii="Times New Roman" w:hAnsi="Times New Roman" w:cs="Times New Roman"/>
          <w:b/>
          <w:lang w:val="en-GB"/>
        </w:rPr>
      </w:pPr>
    </w:p>
    <w:p w14:paraId="2FE947BC" w14:textId="20A69E38" w:rsidR="00390E97" w:rsidRDefault="00B75ADB" w:rsidP="00B75ADB">
      <w:pPr>
        <w:spacing w:line="360" w:lineRule="auto"/>
        <w:ind w:left="720"/>
        <w:jc w:val="both"/>
        <w:rPr>
          <w:lang w:val="en-GB"/>
        </w:rPr>
      </w:pPr>
      <w:r w:rsidRPr="00AA64AE">
        <w:rPr>
          <w:lang w:val="en-GB"/>
        </w:rPr>
        <w:t>If the Court declared that the transfer took place on either</w:t>
      </w:r>
      <w:r w:rsidR="00EC3E8F" w:rsidRPr="00AA64AE">
        <w:rPr>
          <w:lang w:val="en-GB"/>
        </w:rPr>
        <w:t xml:space="preserve"> 1.12.2015</w:t>
      </w:r>
      <w:r w:rsidR="00FE1DDB" w:rsidRPr="00AA64AE">
        <w:rPr>
          <w:lang w:val="en-GB"/>
        </w:rPr>
        <w:t xml:space="preserve"> (the end of X’s lease contract)</w:t>
      </w:r>
      <w:r w:rsidR="00EC3E8F" w:rsidRPr="00AA64AE">
        <w:rPr>
          <w:lang w:val="en-GB"/>
        </w:rPr>
        <w:t xml:space="preserve"> or 15.12.2015</w:t>
      </w:r>
      <w:r w:rsidR="00FE1DDB" w:rsidRPr="00AA64AE">
        <w:rPr>
          <w:lang w:val="en-GB"/>
        </w:rPr>
        <w:t xml:space="preserve"> (meeting with cooks and waiters)</w:t>
      </w:r>
      <w:r w:rsidRPr="00AA64AE">
        <w:rPr>
          <w:lang w:val="en-GB"/>
        </w:rPr>
        <w:t xml:space="preserve">, </w:t>
      </w:r>
      <w:r w:rsidR="00390E97">
        <w:rPr>
          <w:lang w:val="en-GB"/>
        </w:rPr>
        <w:t xml:space="preserve">the Defendant argues that </w:t>
      </w:r>
      <w:r w:rsidR="00EA7EDE">
        <w:rPr>
          <w:lang w:val="en-GB"/>
        </w:rPr>
        <w:t xml:space="preserve">Plaintiff </w:t>
      </w:r>
      <w:r w:rsidR="007373CF">
        <w:rPr>
          <w:lang w:val="en-GB"/>
        </w:rPr>
        <w:t>I</w:t>
      </w:r>
      <w:r w:rsidRPr="00AA64AE">
        <w:rPr>
          <w:lang w:val="en-GB"/>
        </w:rPr>
        <w:t xml:space="preserve"> would not have</w:t>
      </w:r>
      <w:r w:rsidR="00070DD3" w:rsidRPr="00AA64AE">
        <w:rPr>
          <w:lang w:val="en-GB"/>
        </w:rPr>
        <w:t xml:space="preserve"> the right to a jubilee award under</w:t>
      </w:r>
      <w:r w:rsidR="001028E1">
        <w:rPr>
          <w:lang w:val="en-GB"/>
        </w:rPr>
        <w:t xml:space="preserve"> condition that </w:t>
      </w:r>
      <w:r w:rsidRPr="00AA64AE">
        <w:rPr>
          <w:lang w:val="en-GB"/>
        </w:rPr>
        <w:t>Hungarian law does not predict that Company Y is bound by the terms and conditions agreed in the firs</w:t>
      </w:r>
      <w:r w:rsidR="00B96B3F" w:rsidRPr="00AA64AE">
        <w:rPr>
          <w:lang w:val="en-GB"/>
        </w:rPr>
        <w:t>t collective agreement after its</w:t>
      </w:r>
      <w:r w:rsidRPr="00AA64AE">
        <w:rPr>
          <w:lang w:val="en-GB"/>
        </w:rPr>
        <w:t xml:space="preserve"> </w:t>
      </w:r>
      <w:r w:rsidR="00B96B3F" w:rsidRPr="00AA64AE">
        <w:rPr>
          <w:lang w:val="en-GB"/>
        </w:rPr>
        <w:t>expiry</w:t>
      </w:r>
      <w:r w:rsidRPr="00AA64AE">
        <w:rPr>
          <w:lang w:val="en-GB"/>
        </w:rPr>
        <w:t>.</w:t>
      </w:r>
    </w:p>
    <w:p w14:paraId="0F4A8270" w14:textId="3943FC97" w:rsidR="00B75ADB" w:rsidRPr="00AA64AE" w:rsidRDefault="00D06546" w:rsidP="00B75ADB">
      <w:pPr>
        <w:spacing w:line="360" w:lineRule="auto"/>
        <w:ind w:left="720"/>
        <w:jc w:val="both"/>
        <w:rPr>
          <w:lang w:val="en-GB"/>
        </w:rPr>
      </w:pPr>
      <w:r w:rsidRPr="00AA64AE">
        <w:rPr>
          <w:lang w:val="en-GB"/>
        </w:rPr>
        <w:t>Thus,</w:t>
      </w:r>
      <w:r w:rsidR="00B75ADB" w:rsidRPr="00AA64AE">
        <w:rPr>
          <w:lang w:val="en-GB"/>
        </w:rPr>
        <w:t xml:space="preserve"> </w:t>
      </w:r>
      <w:r w:rsidR="00EA7EDE">
        <w:rPr>
          <w:lang w:val="en-GB"/>
        </w:rPr>
        <w:t xml:space="preserve">Plaintiff </w:t>
      </w:r>
      <w:r w:rsidR="007373CF">
        <w:rPr>
          <w:lang w:val="en-GB"/>
        </w:rPr>
        <w:t>I</w:t>
      </w:r>
      <w:r w:rsidR="00B75ADB" w:rsidRPr="00AA64AE">
        <w:rPr>
          <w:lang w:val="en-GB"/>
        </w:rPr>
        <w:t>’s right to a</w:t>
      </w:r>
      <w:r w:rsidR="00223BC2" w:rsidRPr="00AA64AE">
        <w:rPr>
          <w:lang w:val="en-GB"/>
        </w:rPr>
        <w:t xml:space="preserve"> ju</w:t>
      </w:r>
      <w:r w:rsidR="00390E97">
        <w:rPr>
          <w:lang w:val="en-GB"/>
        </w:rPr>
        <w:t>bilee award derived from the first</w:t>
      </w:r>
      <w:r w:rsidR="00B75ADB" w:rsidRPr="00AA64AE">
        <w:rPr>
          <w:lang w:val="en-GB"/>
        </w:rPr>
        <w:t xml:space="preserve"> collective agreement </w:t>
      </w:r>
      <w:r w:rsidR="000C14C2">
        <w:rPr>
          <w:lang w:val="en-GB"/>
        </w:rPr>
        <w:t xml:space="preserve">concluded between X and Trade Union A </w:t>
      </w:r>
      <w:r w:rsidR="00B75ADB" w:rsidRPr="00AA64AE">
        <w:rPr>
          <w:lang w:val="en-GB"/>
        </w:rPr>
        <w:t xml:space="preserve">would never </w:t>
      </w:r>
      <w:r w:rsidR="008B5226" w:rsidRPr="00AA64AE">
        <w:rPr>
          <w:lang w:val="en-GB"/>
        </w:rPr>
        <w:t>realise</w:t>
      </w:r>
      <w:r w:rsidR="000C14C2">
        <w:rPr>
          <w:lang w:val="en-GB"/>
        </w:rPr>
        <w:t xml:space="preserve">. </w:t>
      </w:r>
      <w:r w:rsidR="00B00F72">
        <w:rPr>
          <w:lang w:val="en-GB"/>
        </w:rPr>
        <w:t xml:space="preserve">His jubilee award would become payable on 1.01.2016. </w:t>
      </w:r>
      <w:r w:rsidR="000C14C2">
        <w:rPr>
          <w:lang w:val="en-GB"/>
        </w:rPr>
        <w:t>O</w:t>
      </w:r>
      <w:r w:rsidR="00655AA4" w:rsidRPr="00AA64AE">
        <w:rPr>
          <w:lang w:val="en-GB"/>
        </w:rPr>
        <w:t xml:space="preserve">n the </w:t>
      </w:r>
      <w:r w:rsidR="00D23D0D">
        <w:rPr>
          <w:lang w:val="en-GB"/>
        </w:rPr>
        <w:t>1.01.2016</w:t>
      </w:r>
      <w:r w:rsidR="00B75ADB" w:rsidRPr="00AA64AE">
        <w:rPr>
          <w:lang w:val="en-GB"/>
        </w:rPr>
        <w:t xml:space="preserve"> the first collective agreement ceased to bind </w:t>
      </w:r>
      <w:r w:rsidR="005468AB" w:rsidRPr="00AA64AE">
        <w:rPr>
          <w:lang w:val="en-GB"/>
        </w:rPr>
        <w:t>at Y, who was obliged to observe its terms only until the date of its expiry</w:t>
      </w:r>
      <w:r w:rsidR="00A168A5" w:rsidRPr="00AA64AE">
        <w:rPr>
          <w:lang w:val="en-GB"/>
        </w:rPr>
        <w:t xml:space="preserve"> (with 31.12.2015 being the last day)</w:t>
      </w:r>
      <w:r w:rsidR="000C14C2">
        <w:rPr>
          <w:lang w:val="en-GB"/>
        </w:rPr>
        <w:t>. T</w:t>
      </w:r>
      <w:r w:rsidR="005468AB" w:rsidRPr="00AA64AE">
        <w:rPr>
          <w:lang w:val="en-GB"/>
        </w:rPr>
        <w:t xml:space="preserve">he new collective agreement which </w:t>
      </w:r>
      <w:r w:rsidR="00A168A5" w:rsidRPr="00AA64AE">
        <w:rPr>
          <w:lang w:val="en-GB"/>
        </w:rPr>
        <w:t xml:space="preserve">came </w:t>
      </w:r>
      <w:r w:rsidR="005468AB" w:rsidRPr="00AA64AE">
        <w:rPr>
          <w:lang w:val="en-GB"/>
        </w:rPr>
        <w:t xml:space="preserve">into </w:t>
      </w:r>
      <w:r w:rsidR="00A168A5" w:rsidRPr="00AA64AE">
        <w:rPr>
          <w:lang w:val="en-GB"/>
        </w:rPr>
        <w:t>effect</w:t>
      </w:r>
      <w:r w:rsidR="005468AB" w:rsidRPr="00AA64AE">
        <w:rPr>
          <w:lang w:val="en-GB"/>
        </w:rPr>
        <w:t xml:space="preserve"> at X</w:t>
      </w:r>
      <w:r w:rsidR="00A168A5" w:rsidRPr="00AA64AE">
        <w:rPr>
          <w:lang w:val="en-GB"/>
        </w:rPr>
        <w:t xml:space="preserve"> on the </w:t>
      </w:r>
      <w:r w:rsidR="00D23D0D">
        <w:rPr>
          <w:lang w:val="en-GB"/>
        </w:rPr>
        <w:t>01.01.2016</w:t>
      </w:r>
      <w:r w:rsidR="005468AB" w:rsidRPr="00AA64AE">
        <w:rPr>
          <w:lang w:val="en-GB"/>
        </w:rPr>
        <w:t xml:space="preserve"> is </w:t>
      </w:r>
      <w:r w:rsidR="000C14C2">
        <w:rPr>
          <w:lang w:val="en-GB"/>
        </w:rPr>
        <w:t xml:space="preserve">not binding for </w:t>
      </w:r>
      <w:r w:rsidR="000C14C2" w:rsidRPr="004C08E4">
        <w:rPr>
          <w:lang w:val="en-GB"/>
        </w:rPr>
        <w:t>Y</w:t>
      </w:r>
      <w:r w:rsidR="000C14C2">
        <w:rPr>
          <w:lang w:val="en-GB"/>
        </w:rPr>
        <w:t>, as it was effective after the date of the transfer</w:t>
      </w:r>
      <w:r w:rsidR="000C14C2" w:rsidRPr="004C08E4">
        <w:rPr>
          <w:lang w:val="en-GB"/>
        </w:rPr>
        <w:t>.</w:t>
      </w:r>
      <w:r w:rsidR="000C14C2">
        <w:rPr>
          <w:lang w:val="en-GB"/>
        </w:rPr>
        <w:t xml:space="preserve"> The </w:t>
      </w:r>
      <w:r w:rsidR="007373CF">
        <w:rPr>
          <w:lang w:val="en-GB"/>
        </w:rPr>
        <w:t>Plaintiff I</w:t>
      </w:r>
      <w:r w:rsidR="000C14C2">
        <w:rPr>
          <w:lang w:val="en-GB"/>
        </w:rPr>
        <w:t xml:space="preserve"> would have acquired the right to the jubilee award if he had been employed by X on 1</w:t>
      </w:r>
      <w:r w:rsidR="00F36D96">
        <w:rPr>
          <w:lang w:val="en-GB"/>
        </w:rPr>
        <w:t>.01.</w:t>
      </w:r>
      <w:r w:rsidR="00B00F72">
        <w:rPr>
          <w:lang w:val="en-GB"/>
        </w:rPr>
        <w:t>2016, as on</w:t>
      </w:r>
      <w:r w:rsidR="000C14C2">
        <w:rPr>
          <w:lang w:val="en-GB"/>
        </w:rPr>
        <w:t xml:space="preserve"> that date his work seniority would have exceeded 20 years.</w:t>
      </w:r>
    </w:p>
    <w:p w14:paraId="387ACDFE" w14:textId="77777777" w:rsidR="00B75ADB" w:rsidRPr="00AA64AE" w:rsidRDefault="00B75ADB" w:rsidP="00B75ADB">
      <w:pPr>
        <w:spacing w:line="360" w:lineRule="auto"/>
        <w:ind w:left="360"/>
        <w:jc w:val="both"/>
        <w:rPr>
          <w:lang w:val="en-GB"/>
        </w:rPr>
      </w:pPr>
    </w:p>
    <w:p w14:paraId="5A3D51CE" w14:textId="0B52CA0D" w:rsidR="00B75ADB" w:rsidRPr="00AA64AE" w:rsidRDefault="006A3F2A" w:rsidP="005E7284">
      <w:pPr>
        <w:pStyle w:val="Kop3"/>
      </w:pPr>
      <w:bookmarkStart w:id="34" w:name="_Toc480403687"/>
      <w:bookmarkStart w:id="35" w:name="_Toc480403829"/>
      <w:r w:rsidRPr="00AA64AE">
        <w:t>LACK OF COOPERATION WITH TRADE UNION “A”</w:t>
      </w:r>
      <w:bookmarkEnd w:id="34"/>
      <w:bookmarkEnd w:id="35"/>
    </w:p>
    <w:p w14:paraId="1DBC39FE" w14:textId="77777777" w:rsidR="00777948" w:rsidRPr="00AA64AE" w:rsidRDefault="00777948" w:rsidP="00777948">
      <w:pPr>
        <w:pStyle w:val="Akapitzlist1"/>
        <w:spacing w:line="360" w:lineRule="auto"/>
        <w:jc w:val="both"/>
        <w:rPr>
          <w:rFonts w:ascii="Times New Roman" w:hAnsi="Times New Roman" w:cs="Times New Roman"/>
          <w:b/>
          <w:lang w:val="en-GB"/>
        </w:rPr>
      </w:pPr>
    </w:p>
    <w:p w14:paraId="7D781F14" w14:textId="1D9E439C" w:rsidR="00B75ADB" w:rsidRPr="00AA64AE" w:rsidRDefault="005D5F4E" w:rsidP="005E7284">
      <w:pPr>
        <w:pStyle w:val="Kop4"/>
      </w:pPr>
      <w:r w:rsidRPr="00AA64AE">
        <w:lastRenderedPageBreak/>
        <w:t>Sin</w:t>
      </w:r>
      <w:r w:rsidR="003A1BA8" w:rsidRPr="00AA64AE">
        <w:t>ce there was no transfer, no co</w:t>
      </w:r>
      <w:r w:rsidRPr="00AA64AE">
        <w:t>operation with trade unions was required</w:t>
      </w:r>
    </w:p>
    <w:p w14:paraId="19AEDB31" w14:textId="77777777" w:rsidR="005D5F4E" w:rsidRPr="00AA64AE" w:rsidRDefault="005D5F4E" w:rsidP="005D5F4E">
      <w:pPr>
        <w:pStyle w:val="Lijstalinea"/>
        <w:spacing w:line="360" w:lineRule="auto"/>
        <w:jc w:val="both"/>
        <w:rPr>
          <w:b/>
          <w:lang w:val="en-GB"/>
        </w:rPr>
      </w:pPr>
    </w:p>
    <w:p w14:paraId="731A0BBC" w14:textId="3D14E684" w:rsidR="005D5F4E" w:rsidRPr="00AA64AE" w:rsidRDefault="005D5F4E" w:rsidP="005D5F4E">
      <w:pPr>
        <w:spacing w:line="360" w:lineRule="auto"/>
        <w:ind w:left="720"/>
        <w:jc w:val="both"/>
        <w:rPr>
          <w:lang w:val="en-GB"/>
        </w:rPr>
      </w:pPr>
      <w:r w:rsidRPr="00AA64AE">
        <w:rPr>
          <w:lang w:val="en-GB"/>
        </w:rPr>
        <w:t>Defendant Y ha</w:t>
      </w:r>
      <w:r w:rsidR="00156091" w:rsidRPr="00AA64AE">
        <w:rPr>
          <w:lang w:val="en-GB"/>
        </w:rPr>
        <w:t>d already explained in the pt. 2</w:t>
      </w:r>
      <w:r w:rsidRPr="00AA64AE">
        <w:rPr>
          <w:lang w:val="en-GB"/>
        </w:rPr>
        <w:t xml:space="preserve"> above why there has been no transfer of undertaking</w:t>
      </w:r>
      <w:r w:rsidR="000C14C2">
        <w:rPr>
          <w:lang w:val="en-GB"/>
        </w:rPr>
        <w:t xml:space="preserve"> or part of undertaking</w:t>
      </w:r>
      <w:r w:rsidRPr="00AA64AE">
        <w:rPr>
          <w:lang w:val="en-GB"/>
        </w:rPr>
        <w:t xml:space="preserve"> in this case. This means that there was no legal basis for </w:t>
      </w:r>
      <w:r w:rsidR="000C14C2">
        <w:rPr>
          <w:lang w:val="en-GB"/>
        </w:rPr>
        <w:t>his</w:t>
      </w:r>
      <w:r w:rsidR="002530FA" w:rsidRPr="00AA64AE">
        <w:rPr>
          <w:lang w:val="en-GB"/>
        </w:rPr>
        <w:t xml:space="preserve"> obligation to inform the Trade Union “A” about </w:t>
      </w:r>
      <w:r w:rsidR="000C14C2">
        <w:rPr>
          <w:lang w:val="en-GB"/>
        </w:rPr>
        <w:t>any business decisions made by him, including hiring of new staff or their pay conditions.</w:t>
      </w:r>
    </w:p>
    <w:p w14:paraId="259314E7" w14:textId="49411EE9" w:rsidR="005D5F4E" w:rsidRPr="00AA64AE" w:rsidRDefault="005D5F4E" w:rsidP="005D5F4E">
      <w:pPr>
        <w:spacing w:line="360" w:lineRule="auto"/>
        <w:ind w:left="720"/>
        <w:jc w:val="both"/>
        <w:rPr>
          <w:lang w:val="en-GB"/>
        </w:rPr>
      </w:pPr>
      <w:r w:rsidRPr="00AA64AE">
        <w:rPr>
          <w:lang w:val="en-GB"/>
        </w:rPr>
        <w:t xml:space="preserve"> </w:t>
      </w:r>
    </w:p>
    <w:p w14:paraId="044D3AE7" w14:textId="6F15C0C0" w:rsidR="00B75ADB" w:rsidRPr="00AA64AE" w:rsidRDefault="00D67D3C" w:rsidP="005E7284">
      <w:pPr>
        <w:pStyle w:val="Kop4"/>
      </w:pPr>
      <w:r w:rsidRPr="00AA64AE">
        <w:t xml:space="preserve">In case the </w:t>
      </w:r>
      <w:r w:rsidR="000A7DE2" w:rsidRPr="00AA64AE">
        <w:t>c</w:t>
      </w:r>
      <w:r w:rsidRPr="00AA64AE">
        <w:t>ourt declares transfer, there is no obligation for a transferee to cooperate with the transferor’s trade unions</w:t>
      </w:r>
    </w:p>
    <w:p w14:paraId="21D9747B" w14:textId="77777777" w:rsidR="00B75ADB" w:rsidRPr="00AA64AE" w:rsidRDefault="00B75ADB" w:rsidP="002530FA">
      <w:pPr>
        <w:spacing w:line="360" w:lineRule="auto"/>
        <w:ind w:left="720"/>
        <w:jc w:val="both"/>
        <w:rPr>
          <w:lang w:val="en-GB"/>
        </w:rPr>
      </w:pPr>
    </w:p>
    <w:p w14:paraId="22575412" w14:textId="1FB162D4" w:rsidR="00A3436C" w:rsidRDefault="002530FA" w:rsidP="00A3436C">
      <w:pPr>
        <w:spacing w:line="360" w:lineRule="auto"/>
        <w:ind w:left="720"/>
        <w:jc w:val="both"/>
        <w:rPr>
          <w:lang w:val="en-GB"/>
        </w:rPr>
      </w:pPr>
      <w:r w:rsidRPr="00AA64AE">
        <w:rPr>
          <w:lang w:val="en-GB"/>
        </w:rPr>
        <w:t>Furthermore, even if the Court finds that there has been a transfer of undertaking</w:t>
      </w:r>
      <w:r w:rsidR="000C14C2">
        <w:rPr>
          <w:lang w:val="en-GB"/>
        </w:rPr>
        <w:t xml:space="preserve"> or part of undertaking</w:t>
      </w:r>
      <w:r w:rsidRPr="00AA64AE">
        <w:rPr>
          <w:lang w:val="en-GB"/>
        </w:rPr>
        <w:t xml:space="preserve">, </w:t>
      </w:r>
      <w:r w:rsidR="003A1BA8" w:rsidRPr="00AA64AE">
        <w:rPr>
          <w:lang w:val="en-GB"/>
        </w:rPr>
        <w:t>the 2001/23 Directive provides no legal basis for cooperation between the transferee and the transferor’s trade unions.</w:t>
      </w:r>
      <w:r w:rsidR="00AB03BE">
        <w:rPr>
          <w:lang w:val="en-GB"/>
        </w:rPr>
        <w:t xml:space="preserve"> The art.7 par.</w:t>
      </w:r>
      <w:r w:rsidR="00E8672C" w:rsidRPr="00AA64AE">
        <w:rPr>
          <w:lang w:val="en-GB"/>
        </w:rPr>
        <w:t>1 of the Directive requires the transferor and the transferee to inform the representatives of “</w:t>
      </w:r>
      <w:r w:rsidR="00E8672C" w:rsidRPr="00AA64AE">
        <w:rPr>
          <w:b/>
          <w:i/>
          <w:lang w:val="en-GB"/>
        </w:rPr>
        <w:t>their respective employees</w:t>
      </w:r>
      <w:r w:rsidR="00E8672C" w:rsidRPr="00AA64AE">
        <w:rPr>
          <w:i/>
          <w:lang w:val="en-GB"/>
        </w:rPr>
        <w:t xml:space="preserve"> affected by the transfer</w:t>
      </w:r>
      <w:r w:rsidR="00E8672C" w:rsidRPr="00AA64AE">
        <w:rPr>
          <w:lang w:val="en-GB"/>
        </w:rPr>
        <w:t>”.</w:t>
      </w:r>
      <w:r w:rsidR="00A3436C" w:rsidRPr="00AA64AE">
        <w:rPr>
          <w:lang w:val="en-GB"/>
        </w:rPr>
        <w:t xml:space="preserve"> Besides, the Directive makes it clear</w:t>
      </w:r>
      <w:r w:rsidR="00B245F2" w:rsidRPr="00AA64AE">
        <w:rPr>
          <w:lang w:val="en-GB"/>
        </w:rPr>
        <w:t xml:space="preserve"> again</w:t>
      </w:r>
      <w:r w:rsidR="00A3436C" w:rsidRPr="00AA64AE">
        <w:rPr>
          <w:lang w:val="en-GB"/>
        </w:rPr>
        <w:t xml:space="preserve"> by underlining that “</w:t>
      </w:r>
      <w:r w:rsidR="00A3436C" w:rsidRPr="00AA64AE">
        <w:rPr>
          <w:i/>
          <w:lang w:val="en-GB"/>
        </w:rPr>
        <w:t>t</w:t>
      </w:r>
      <w:r w:rsidR="00B245F2" w:rsidRPr="00AA64AE">
        <w:rPr>
          <w:i/>
          <w:lang w:val="en-GB"/>
        </w:rPr>
        <w:t>he transferee must give […]</w:t>
      </w:r>
      <w:r w:rsidR="00A3436C" w:rsidRPr="00AA64AE">
        <w:rPr>
          <w:i/>
          <w:lang w:val="en-GB"/>
        </w:rPr>
        <w:t xml:space="preserve"> information to the representatives of </w:t>
      </w:r>
      <w:r w:rsidR="00A3436C" w:rsidRPr="00AA64AE">
        <w:rPr>
          <w:b/>
          <w:i/>
          <w:lang w:val="en-GB"/>
        </w:rPr>
        <w:t>his</w:t>
      </w:r>
      <w:r w:rsidR="00B245F2" w:rsidRPr="00AA64AE">
        <w:rPr>
          <w:b/>
          <w:i/>
          <w:lang w:val="en-GB"/>
        </w:rPr>
        <w:t xml:space="preserve"> employees</w:t>
      </w:r>
      <w:r w:rsidR="00A3436C" w:rsidRPr="00AA64AE">
        <w:rPr>
          <w:lang w:val="en-GB"/>
        </w:rPr>
        <w:t>”.</w:t>
      </w:r>
      <w:r w:rsidR="00B245F2" w:rsidRPr="00AA64AE">
        <w:rPr>
          <w:lang w:val="en-GB"/>
        </w:rPr>
        <w:t xml:space="preserve"> </w:t>
      </w:r>
      <w:r w:rsidR="00622026">
        <w:rPr>
          <w:lang w:val="en-GB"/>
        </w:rPr>
        <w:t>Also,</w:t>
      </w:r>
      <w:r w:rsidR="00315A6A">
        <w:rPr>
          <w:lang w:val="en-GB"/>
        </w:rPr>
        <w:t xml:space="preserve"> Section 265 of the Hungarian Labour Code does not provide any obligation of informing representative bodies of a different employer. </w:t>
      </w:r>
      <w:r w:rsidR="00B245F2" w:rsidRPr="00AA64AE">
        <w:rPr>
          <w:lang w:val="en-GB"/>
        </w:rPr>
        <w:t>Therefore, the fact that Defendant Y asked the Trade Union “B” that operates at his workplace to inform the Trade Union “A” about the most important circumstances related to potential reemployment of a few former employees of X is only a gesture of goodwill.</w:t>
      </w:r>
      <w:r w:rsidR="00B83595">
        <w:rPr>
          <w:lang w:val="en-GB"/>
        </w:rPr>
        <w:t xml:space="preserve"> Plaintiff I failed to explain why he</w:t>
      </w:r>
      <w:r w:rsidR="00305C76" w:rsidRPr="00AA64AE">
        <w:rPr>
          <w:lang w:val="en-GB"/>
        </w:rPr>
        <w:t xml:space="preserve"> believe</w:t>
      </w:r>
      <w:r w:rsidR="00B83595">
        <w:rPr>
          <w:lang w:val="en-GB"/>
        </w:rPr>
        <w:t>s</w:t>
      </w:r>
      <w:r w:rsidR="00305C76" w:rsidRPr="00AA64AE">
        <w:rPr>
          <w:lang w:val="en-GB"/>
        </w:rPr>
        <w:t xml:space="preserve"> that Defendant Y was obliged to cooperate with the Trade Union “A”</w:t>
      </w:r>
      <w:r w:rsidR="009E641D" w:rsidRPr="00AA64AE">
        <w:rPr>
          <w:lang w:val="en-GB"/>
        </w:rPr>
        <w:t>, what</w:t>
      </w:r>
      <w:r w:rsidR="006621BA" w:rsidRPr="00AA64AE">
        <w:rPr>
          <w:lang w:val="en-GB"/>
        </w:rPr>
        <w:t xml:space="preserve"> exactly</w:t>
      </w:r>
      <w:r w:rsidR="00B83595">
        <w:rPr>
          <w:lang w:val="en-GB"/>
        </w:rPr>
        <w:t xml:space="preserve"> he</w:t>
      </w:r>
      <w:r w:rsidR="009E641D" w:rsidRPr="00AA64AE">
        <w:rPr>
          <w:lang w:val="en-GB"/>
        </w:rPr>
        <w:t xml:space="preserve"> mean</w:t>
      </w:r>
      <w:r w:rsidR="00B83595">
        <w:rPr>
          <w:lang w:val="en-GB"/>
        </w:rPr>
        <w:t>s</w:t>
      </w:r>
      <w:r w:rsidR="009E641D" w:rsidRPr="00AA64AE">
        <w:rPr>
          <w:lang w:val="en-GB"/>
        </w:rPr>
        <w:t xml:space="preserve"> by ‘cooperation’ (as the Directive </w:t>
      </w:r>
      <w:r w:rsidR="006621BA" w:rsidRPr="00AA64AE">
        <w:rPr>
          <w:lang w:val="en-GB"/>
        </w:rPr>
        <w:t xml:space="preserve">provides only for an obligation to ‘inform’ </w:t>
      </w:r>
      <w:r w:rsidR="007C74A8">
        <w:rPr>
          <w:lang w:val="en-GB"/>
        </w:rPr>
        <w:t xml:space="preserve">or ‘consult’ </w:t>
      </w:r>
      <w:r w:rsidR="006621BA" w:rsidRPr="00AA64AE">
        <w:rPr>
          <w:lang w:val="en-GB"/>
        </w:rPr>
        <w:t xml:space="preserve">and </w:t>
      </w:r>
      <w:r w:rsidR="006621BA" w:rsidRPr="00A11AD7">
        <w:rPr>
          <w:b/>
          <w:lang w:val="en-GB"/>
        </w:rPr>
        <w:t>not</w:t>
      </w:r>
      <w:r w:rsidR="006621BA" w:rsidRPr="00AA64AE">
        <w:rPr>
          <w:lang w:val="en-GB"/>
        </w:rPr>
        <w:t xml:space="preserve"> </w:t>
      </w:r>
      <w:r w:rsidR="007C74A8">
        <w:rPr>
          <w:lang w:val="en-GB"/>
        </w:rPr>
        <w:t xml:space="preserve">an obligation to </w:t>
      </w:r>
      <w:r w:rsidR="00B83595">
        <w:rPr>
          <w:lang w:val="en-GB"/>
        </w:rPr>
        <w:t xml:space="preserve">‘cooperate’), as well as he </w:t>
      </w:r>
      <w:r w:rsidR="006621BA" w:rsidRPr="00AA64AE">
        <w:rPr>
          <w:lang w:val="en-GB"/>
        </w:rPr>
        <w:t>failed to</w:t>
      </w:r>
      <w:r w:rsidR="00305C76" w:rsidRPr="00AA64AE">
        <w:rPr>
          <w:lang w:val="en-GB"/>
        </w:rPr>
        <w:t xml:space="preserve"> provide any</w:t>
      </w:r>
      <w:r w:rsidR="006621BA" w:rsidRPr="00AA64AE">
        <w:rPr>
          <w:lang w:val="en-GB"/>
        </w:rPr>
        <w:t xml:space="preserve"> potential legal basis for their claims in this respect.</w:t>
      </w:r>
    </w:p>
    <w:p w14:paraId="5C79F59E" w14:textId="2AFA6C26" w:rsidR="008F428A" w:rsidRPr="00AA64AE" w:rsidRDefault="008F428A" w:rsidP="00A3436C">
      <w:pPr>
        <w:spacing w:line="360" w:lineRule="auto"/>
        <w:ind w:left="720"/>
        <w:jc w:val="both"/>
        <w:rPr>
          <w:lang w:val="en-GB"/>
        </w:rPr>
      </w:pPr>
      <w:r>
        <w:rPr>
          <w:lang w:val="en-GB"/>
        </w:rPr>
        <w:t xml:space="preserve">Besides, </w:t>
      </w:r>
      <w:r w:rsidR="00EA7EDE">
        <w:rPr>
          <w:lang w:val="en-GB"/>
        </w:rPr>
        <w:t>Plaintiff I</w:t>
      </w:r>
      <w:r>
        <w:rPr>
          <w:lang w:val="en-GB"/>
        </w:rPr>
        <w:t xml:space="preserve"> was </w:t>
      </w:r>
      <w:r w:rsidR="00594CED">
        <w:rPr>
          <w:lang w:val="en-GB"/>
        </w:rPr>
        <w:t>the representative of the Trade Union A and he was present at the meeting held on 15.12.2015. Therefore, he was perfectly aware of the situation and familiar with</w:t>
      </w:r>
      <w:r w:rsidR="006352F7">
        <w:rPr>
          <w:lang w:val="en-GB"/>
        </w:rPr>
        <w:t xml:space="preserve"> all </w:t>
      </w:r>
      <w:r w:rsidR="003033D9">
        <w:rPr>
          <w:lang w:val="en-GB"/>
        </w:rPr>
        <w:t xml:space="preserve">information provided on that date, which makes his claim </w:t>
      </w:r>
      <w:r w:rsidR="00F65680">
        <w:rPr>
          <w:lang w:val="en-GB"/>
        </w:rPr>
        <w:t>not only groundless, but also pointless.</w:t>
      </w:r>
    </w:p>
    <w:p w14:paraId="0E78EEC5" w14:textId="77777777" w:rsidR="002530FA" w:rsidRPr="00AA64AE" w:rsidRDefault="002530FA" w:rsidP="002530FA">
      <w:pPr>
        <w:spacing w:line="360" w:lineRule="auto"/>
        <w:ind w:left="720"/>
        <w:jc w:val="both"/>
        <w:rPr>
          <w:lang w:val="en-GB"/>
        </w:rPr>
      </w:pPr>
    </w:p>
    <w:p w14:paraId="2E564DE1" w14:textId="26020ED9" w:rsidR="00B75ADB" w:rsidRPr="00AA64AE" w:rsidRDefault="006A3F2A" w:rsidP="005E7284">
      <w:pPr>
        <w:pStyle w:val="Kop3"/>
      </w:pPr>
      <w:bookmarkStart w:id="36" w:name="_Toc480403688"/>
      <w:bookmarkStart w:id="37" w:name="_Toc480403830"/>
      <w:r w:rsidRPr="00AA64AE">
        <w:t xml:space="preserve">NO DISCRIMINATION </w:t>
      </w:r>
      <w:r w:rsidR="009E69E6" w:rsidRPr="00AA64AE">
        <w:t xml:space="preserve">TOOK PLACE </w:t>
      </w:r>
      <w:r w:rsidRPr="00AA64AE">
        <w:t xml:space="preserve">IN THE PROCESS OF RECRUITMENT CONDUCTED BY </w:t>
      </w:r>
      <w:bookmarkEnd w:id="36"/>
      <w:bookmarkEnd w:id="37"/>
      <w:r w:rsidRPr="00AA64AE">
        <w:t>Y</w:t>
      </w:r>
    </w:p>
    <w:p w14:paraId="58C6D032" w14:textId="77777777" w:rsidR="00B75ADB" w:rsidRDefault="00B75ADB" w:rsidP="008B7494">
      <w:pPr>
        <w:pStyle w:val="Akapitzlist1"/>
        <w:spacing w:line="360" w:lineRule="auto"/>
        <w:ind w:left="0"/>
        <w:jc w:val="both"/>
        <w:rPr>
          <w:rFonts w:ascii="Times New Roman" w:hAnsi="Times New Roman" w:cs="Times New Roman"/>
          <w:lang w:val="en-GB"/>
        </w:rPr>
      </w:pPr>
    </w:p>
    <w:p w14:paraId="54E7444C" w14:textId="0B2FE20A" w:rsidR="00007269" w:rsidRDefault="006352F7" w:rsidP="00007269">
      <w:pPr>
        <w:spacing w:line="360" w:lineRule="auto"/>
        <w:ind w:left="720"/>
        <w:jc w:val="both"/>
        <w:rPr>
          <w:lang w:val="en-GB"/>
        </w:rPr>
      </w:pPr>
      <w:r>
        <w:rPr>
          <w:lang w:val="en-GB"/>
        </w:rPr>
        <w:t>Plaintiff II</w:t>
      </w:r>
      <w:r w:rsidR="00007269">
        <w:rPr>
          <w:lang w:val="en-GB"/>
        </w:rPr>
        <w:t xml:space="preserve"> failed to clarify his claim relating to age discrimination. It is very vague</w:t>
      </w:r>
      <w:r w:rsidR="001C27CE">
        <w:rPr>
          <w:lang w:val="en-GB"/>
        </w:rPr>
        <w:t xml:space="preserve"> and violates the Defendant Y’s</w:t>
      </w:r>
      <w:r w:rsidR="00B62416">
        <w:rPr>
          <w:lang w:val="en-GB"/>
        </w:rPr>
        <w:t xml:space="preserve"> right of defence since he is not sure </w:t>
      </w:r>
      <w:r w:rsidR="0014784E">
        <w:rPr>
          <w:lang w:val="en-GB"/>
        </w:rPr>
        <w:t>what are the exact allegations against which he should defend himself.</w:t>
      </w:r>
    </w:p>
    <w:p w14:paraId="4975B848" w14:textId="7B02C88C" w:rsidR="00007269" w:rsidRDefault="00007269" w:rsidP="00B62416">
      <w:pPr>
        <w:spacing w:line="360" w:lineRule="auto"/>
        <w:ind w:left="720"/>
        <w:jc w:val="both"/>
        <w:rPr>
          <w:lang w:val="en-GB"/>
        </w:rPr>
      </w:pPr>
      <w:r>
        <w:rPr>
          <w:lang w:val="en-GB"/>
        </w:rPr>
        <w:t>First</w:t>
      </w:r>
      <w:r w:rsidR="00B62416">
        <w:rPr>
          <w:lang w:val="en-GB"/>
        </w:rPr>
        <w:t xml:space="preserve">ly, </w:t>
      </w:r>
      <w:r w:rsidR="006352F7">
        <w:rPr>
          <w:lang w:val="en-GB"/>
        </w:rPr>
        <w:t>Plaintiff II</w:t>
      </w:r>
      <w:r w:rsidR="0014784E">
        <w:rPr>
          <w:lang w:val="en-GB"/>
        </w:rPr>
        <w:t xml:space="preserve"> </w:t>
      </w:r>
      <w:r>
        <w:rPr>
          <w:lang w:val="en-GB"/>
        </w:rPr>
        <w:t>claims that “</w:t>
      </w:r>
      <w:r w:rsidRPr="00B62416">
        <w:rPr>
          <w:i/>
          <w:lang w:val="en-GB"/>
        </w:rPr>
        <w:t>they suffered</w:t>
      </w:r>
      <w:r>
        <w:rPr>
          <w:lang w:val="en-GB"/>
        </w:rPr>
        <w:t>” age discrimination.</w:t>
      </w:r>
      <w:r w:rsidRPr="00007269">
        <w:rPr>
          <w:lang w:val="en-GB"/>
        </w:rPr>
        <w:t xml:space="preserve"> </w:t>
      </w:r>
      <w:r w:rsidR="008859C6">
        <w:rPr>
          <w:lang w:val="en-GB"/>
        </w:rPr>
        <w:t>It is unclear who are “</w:t>
      </w:r>
      <w:r w:rsidR="008859C6" w:rsidRPr="008859C6">
        <w:rPr>
          <w:i/>
          <w:lang w:val="en-GB"/>
        </w:rPr>
        <w:t>they</w:t>
      </w:r>
      <w:r w:rsidR="008859C6">
        <w:rPr>
          <w:lang w:val="en-GB"/>
        </w:rPr>
        <w:t xml:space="preserve">”. </w:t>
      </w:r>
      <w:r>
        <w:rPr>
          <w:lang w:val="en-GB"/>
        </w:rPr>
        <w:t>Defendant Y presumes that</w:t>
      </w:r>
      <w:r w:rsidR="00310EDE">
        <w:rPr>
          <w:lang w:val="en-GB"/>
        </w:rPr>
        <w:t xml:space="preserve"> </w:t>
      </w:r>
      <w:r w:rsidR="0096175F">
        <w:rPr>
          <w:lang w:val="en-GB"/>
        </w:rPr>
        <w:t xml:space="preserve">either </w:t>
      </w:r>
      <w:r w:rsidR="008859C6">
        <w:rPr>
          <w:lang w:val="en-GB"/>
        </w:rPr>
        <w:t>it means that both</w:t>
      </w:r>
      <w:r w:rsidR="0014784E">
        <w:rPr>
          <w:lang w:val="en-GB"/>
        </w:rPr>
        <w:t xml:space="preserve"> Plaintiffs </w:t>
      </w:r>
      <w:r>
        <w:rPr>
          <w:lang w:val="en-GB"/>
        </w:rPr>
        <w:t>were subject to unequal treatment</w:t>
      </w:r>
      <w:r w:rsidR="0096175F">
        <w:rPr>
          <w:lang w:val="en-GB"/>
        </w:rPr>
        <w:t xml:space="preserve"> or that </w:t>
      </w:r>
      <w:r w:rsidR="006352F7">
        <w:rPr>
          <w:lang w:val="en-GB"/>
        </w:rPr>
        <w:t>Plaintiff II</w:t>
      </w:r>
      <w:r w:rsidR="0096175F">
        <w:rPr>
          <w:lang w:val="en-GB"/>
        </w:rPr>
        <w:t xml:space="preserve"> acts on behalf of an unknown group of discriminated workers</w:t>
      </w:r>
      <w:r>
        <w:rPr>
          <w:lang w:val="en-GB"/>
        </w:rPr>
        <w:t>.</w:t>
      </w:r>
      <w:r w:rsidR="00B62416">
        <w:rPr>
          <w:lang w:val="en-GB"/>
        </w:rPr>
        <w:t xml:space="preserve"> </w:t>
      </w:r>
      <w:r w:rsidR="00811615">
        <w:rPr>
          <w:lang w:val="en-GB"/>
        </w:rPr>
        <w:t>However, s</w:t>
      </w:r>
      <w:r>
        <w:rPr>
          <w:lang w:val="en-GB"/>
        </w:rPr>
        <w:t xml:space="preserve">ince </w:t>
      </w:r>
      <w:r w:rsidR="001D6616">
        <w:rPr>
          <w:lang w:val="en-GB"/>
        </w:rPr>
        <w:t>Plaintiff I</w:t>
      </w:r>
      <w:r>
        <w:rPr>
          <w:lang w:val="en-GB"/>
        </w:rPr>
        <w:t xml:space="preserve"> was effectively employed by Defendant Y, it remains unknown what is the potential basis of him being discriminated. It is also unclear why </w:t>
      </w:r>
      <w:r w:rsidR="006352F7">
        <w:rPr>
          <w:lang w:val="en-GB"/>
        </w:rPr>
        <w:t>Plaintiff II</w:t>
      </w:r>
      <w:r>
        <w:rPr>
          <w:lang w:val="en-GB"/>
        </w:rPr>
        <w:t xml:space="preserve"> makes such collective claims and acts on behalf of </w:t>
      </w:r>
      <w:r w:rsidR="001D6616">
        <w:rPr>
          <w:lang w:val="en-GB"/>
        </w:rPr>
        <w:t>Plaintiff I</w:t>
      </w:r>
      <w:r w:rsidR="0052255D">
        <w:rPr>
          <w:lang w:val="en-GB"/>
        </w:rPr>
        <w:t xml:space="preserve"> (or other people)</w:t>
      </w:r>
      <w:r>
        <w:rPr>
          <w:lang w:val="en-GB"/>
        </w:rPr>
        <w:t xml:space="preserve"> in that regard. </w:t>
      </w:r>
      <w:r w:rsidR="0055646C">
        <w:rPr>
          <w:lang w:val="en-GB"/>
        </w:rPr>
        <w:t>This is strikingly ill-founded and does not indicate any kind of probability that both Plaintiffs</w:t>
      </w:r>
      <w:r w:rsidR="00221031">
        <w:rPr>
          <w:lang w:val="en-GB"/>
        </w:rPr>
        <w:t xml:space="preserve"> (or other workers)</w:t>
      </w:r>
      <w:r w:rsidR="001D6616">
        <w:rPr>
          <w:lang w:val="en-GB"/>
        </w:rPr>
        <w:t xml:space="preserve"> were discriminated.</w:t>
      </w:r>
    </w:p>
    <w:p w14:paraId="58CD2F62" w14:textId="6565BBFD" w:rsidR="00075627" w:rsidRDefault="00075627" w:rsidP="00B62416">
      <w:pPr>
        <w:spacing w:line="360" w:lineRule="auto"/>
        <w:ind w:left="720"/>
        <w:jc w:val="both"/>
        <w:rPr>
          <w:lang w:val="en-GB"/>
        </w:rPr>
      </w:pPr>
      <w:r>
        <w:rPr>
          <w:lang w:val="en-GB"/>
        </w:rPr>
        <w:t xml:space="preserve">Secondly, </w:t>
      </w:r>
      <w:r w:rsidR="006352F7">
        <w:rPr>
          <w:lang w:val="en-GB"/>
        </w:rPr>
        <w:t>Plaintiff II</w:t>
      </w:r>
      <w:r>
        <w:rPr>
          <w:lang w:val="en-GB"/>
        </w:rPr>
        <w:t xml:space="preserve"> does not clarify when discrimination was suffered. He could feel discriminated when Employer X terminated his employment contract. Alternatively, he could feel discriminated when Defendant Y </w:t>
      </w:r>
      <w:r w:rsidR="001D6616">
        <w:rPr>
          <w:lang w:val="en-GB"/>
        </w:rPr>
        <w:t>announced that he did not need his services</w:t>
      </w:r>
      <w:r>
        <w:rPr>
          <w:lang w:val="en-GB"/>
        </w:rPr>
        <w:t>.</w:t>
      </w:r>
    </w:p>
    <w:p w14:paraId="74CBA0D1" w14:textId="284A174E" w:rsidR="00A413D3" w:rsidRDefault="00075627" w:rsidP="001F1AC5">
      <w:pPr>
        <w:spacing w:line="360" w:lineRule="auto"/>
        <w:ind w:left="720"/>
        <w:jc w:val="both"/>
        <w:rPr>
          <w:lang w:val="en-GB"/>
        </w:rPr>
      </w:pPr>
      <w:r>
        <w:rPr>
          <w:lang w:val="en-GB"/>
        </w:rPr>
        <w:t>Considering the above, the Court should dismiss this claim.</w:t>
      </w:r>
      <w:r w:rsidR="001F1AC5">
        <w:rPr>
          <w:lang w:val="en-GB"/>
        </w:rPr>
        <w:t xml:space="preserve"> Nevertheless, in case the Court considers that there has been unequal treatment, Defendant Y would like to present his arguments. They address </w:t>
      </w:r>
      <w:r w:rsidR="00826068" w:rsidRPr="006A29A7">
        <w:rPr>
          <w:b/>
          <w:lang w:val="en-GB"/>
        </w:rPr>
        <w:t>only</w:t>
      </w:r>
      <w:r w:rsidR="00826068">
        <w:rPr>
          <w:lang w:val="en-GB"/>
        </w:rPr>
        <w:t xml:space="preserve"> </w:t>
      </w:r>
      <w:r w:rsidR="001F1AC5">
        <w:rPr>
          <w:lang w:val="en-GB"/>
        </w:rPr>
        <w:t xml:space="preserve">the potential claim of </w:t>
      </w:r>
      <w:r w:rsidR="006352F7">
        <w:rPr>
          <w:lang w:val="en-GB"/>
        </w:rPr>
        <w:t>Plaintiff II</w:t>
      </w:r>
      <w:r w:rsidR="001F1AC5">
        <w:rPr>
          <w:lang w:val="en-GB"/>
        </w:rPr>
        <w:t xml:space="preserve"> bei</w:t>
      </w:r>
      <w:r w:rsidR="00B14C50">
        <w:rPr>
          <w:lang w:val="en-GB"/>
        </w:rPr>
        <w:t>ng discriminated by Defendant Y</w:t>
      </w:r>
      <w:r w:rsidR="00A00B4D">
        <w:rPr>
          <w:lang w:val="en-GB"/>
        </w:rPr>
        <w:t>.</w:t>
      </w:r>
    </w:p>
    <w:p w14:paraId="71270322" w14:textId="77777777" w:rsidR="00007269" w:rsidRPr="00AA64AE" w:rsidRDefault="00007269" w:rsidP="008B7494">
      <w:pPr>
        <w:pStyle w:val="Akapitzlist1"/>
        <w:spacing w:line="360" w:lineRule="auto"/>
        <w:ind w:left="0"/>
        <w:jc w:val="both"/>
        <w:rPr>
          <w:rFonts w:ascii="Times New Roman" w:hAnsi="Times New Roman" w:cs="Times New Roman"/>
          <w:lang w:val="en-GB"/>
        </w:rPr>
      </w:pPr>
    </w:p>
    <w:p w14:paraId="5E2DEC0C" w14:textId="08A7ED82" w:rsidR="00B75ADB" w:rsidRPr="00AA64AE" w:rsidRDefault="00B75ADB" w:rsidP="005E7284">
      <w:pPr>
        <w:pStyle w:val="Kop4"/>
      </w:pPr>
      <w:r w:rsidRPr="00AA64AE">
        <w:t>Hiring process was based on objective criteria and age was not a criterion of selection</w:t>
      </w:r>
    </w:p>
    <w:p w14:paraId="22C5790E" w14:textId="77777777" w:rsidR="00B75ADB" w:rsidRPr="00AA64AE" w:rsidRDefault="00B75ADB" w:rsidP="00B75ADB">
      <w:pPr>
        <w:pStyle w:val="Akapitzlist1"/>
        <w:spacing w:line="360" w:lineRule="auto"/>
        <w:jc w:val="both"/>
        <w:rPr>
          <w:rFonts w:ascii="Times New Roman" w:hAnsi="Times New Roman" w:cs="Times New Roman"/>
          <w:lang w:val="en-GB"/>
        </w:rPr>
      </w:pPr>
    </w:p>
    <w:p w14:paraId="78BBAEA7" w14:textId="58F15A6A" w:rsidR="00E34995" w:rsidRDefault="00455F90" w:rsidP="00E34995">
      <w:pPr>
        <w:spacing w:line="360" w:lineRule="auto"/>
        <w:ind w:left="720"/>
        <w:jc w:val="both"/>
        <w:rPr>
          <w:lang w:val="en-GB"/>
        </w:rPr>
      </w:pPr>
      <w:r>
        <w:rPr>
          <w:lang w:val="en-GB"/>
        </w:rPr>
        <w:t>The Court should take into account the</w:t>
      </w:r>
      <w:r w:rsidR="00B75ADB" w:rsidRPr="00AA64AE">
        <w:rPr>
          <w:lang w:val="en-GB"/>
        </w:rPr>
        <w:t xml:space="preserve"> </w:t>
      </w:r>
      <w:r>
        <w:rPr>
          <w:lang w:val="en-GB"/>
        </w:rPr>
        <w:t>hiring capacity of Employer Y. It was clearly stated during</w:t>
      </w:r>
      <w:r w:rsidR="00B75ADB" w:rsidRPr="00AA64AE">
        <w:rPr>
          <w:lang w:val="en-GB"/>
        </w:rPr>
        <w:t xml:space="preserve"> the meeting in December, that there were only 5 waiting posts available, which made the process very competitive, since 12 employees of Company X attended the meeting. Even though the phrase ‘</w:t>
      </w:r>
      <w:r w:rsidR="00B75ADB" w:rsidRPr="00AA64AE">
        <w:rPr>
          <w:i/>
          <w:lang w:val="en-GB"/>
        </w:rPr>
        <w:t>young and dynamic team of employees</w:t>
      </w:r>
      <w:r w:rsidR="00B75ADB" w:rsidRPr="00AA64AE">
        <w:rPr>
          <w:lang w:val="en-GB"/>
        </w:rPr>
        <w:t>’</w:t>
      </w:r>
      <w:r w:rsidR="009A37B5" w:rsidRPr="00AA64AE">
        <w:rPr>
          <w:lang w:val="en-GB"/>
        </w:rPr>
        <w:t xml:space="preserve"> was mentioned during</w:t>
      </w:r>
      <w:r w:rsidR="00B75ADB" w:rsidRPr="00AA64AE">
        <w:rPr>
          <w:lang w:val="en-GB"/>
        </w:rPr>
        <w:t xml:space="preserve"> the meeting, it was merely a descriptive statement, and </w:t>
      </w:r>
      <w:r w:rsidR="00503920" w:rsidRPr="00AA64AE">
        <w:rPr>
          <w:lang w:val="en-GB"/>
        </w:rPr>
        <w:t>there is no proof that the age was after all a</w:t>
      </w:r>
      <w:r w:rsidR="00B75ADB" w:rsidRPr="00AA64AE">
        <w:rPr>
          <w:lang w:val="en-GB"/>
        </w:rPr>
        <w:t xml:space="preserve"> decisive factor in the hiring process. </w:t>
      </w:r>
      <w:r w:rsidR="00A8421B">
        <w:rPr>
          <w:rFonts w:ascii="Times" w:hAnsi="Times"/>
          <w:lang w:val="en-GB"/>
        </w:rPr>
        <w:t>Company Y did not refer to age as the criterion for hiring new waiters.</w:t>
      </w:r>
      <w:r w:rsidR="00A8421B" w:rsidRPr="004C08E4">
        <w:rPr>
          <w:rFonts w:ascii="Times" w:hAnsi="Times"/>
          <w:lang w:val="en-GB"/>
        </w:rPr>
        <w:t xml:space="preserve"> </w:t>
      </w:r>
      <w:r w:rsidR="00C4658C">
        <w:rPr>
          <w:lang w:val="en-GB"/>
        </w:rPr>
        <w:t>There is no proof that all</w:t>
      </w:r>
      <w:r w:rsidR="0099179E">
        <w:rPr>
          <w:lang w:val="en-GB"/>
        </w:rPr>
        <w:t xml:space="preserve"> 5 X’s former employees </w:t>
      </w:r>
      <w:r w:rsidR="000C24C7">
        <w:rPr>
          <w:lang w:val="en-GB"/>
        </w:rPr>
        <w:t xml:space="preserve">that were </w:t>
      </w:r>
      <w:r w:rsidR="0099179E">
        <w:rPr>
          <w:lang w:val="en-GB"/>
        </w:rPr>
        <w:t xml:space="preserve">employed by </w:t>
      </w:r>
      <w:r w:rsidR="00B01855">
        <w:rPr>
          <w:lang w:val="en-GB"/>
        </w:rPr>
        <w:t xml:space="preserve">Defendant </w:t>
      </w:r>
      <w:r w:rsidR="0099179E">
        <w:rPr>
          <w:lang w:val="en-GB"/>
        </w:rPr>
        <w:t>Y</w:t>
      </w:r>
      <w:r w:rsidR="00C4658C">
        <w:rPr>
          <w:lang w:val="en-GB"/>
        </w:rPr>
        <w:t xml:space="preserve"> are below 40. </w:t>
      </w:r>
      <w:r w:rsidR="00B75ADB" w:rsidRPr="00AA64AE">
        <w:rPr>
          <w:lang w:val="en-GB"/>
        </w:rPr>
        <w:t xml:space="preserve">There is </w:t>
      </w:r>
      <w:r w:rsidR="00C43A0A" w:rsidRPr="00AA64AE">
        <w:rPr>
          <w:lang w:val="en-GB"/>
        </w:rPr>
        <w:t xml:space="preserve">also </w:t>
      </w:r>
      <w:r w:rsidR="00B75ADB" w:rsidRPr="00AA64AE">
        <w:rPr>
          <w:lang w:val="en-GB"/>
        </w:rPr>
        <w:t>no proof that all 7 remaining employees of Company X, who</w:t>
      </w:r>
      <w:r w:rsidR="00C43A0A" w:rsidRPr="00AA64AE">
        <w:rPr>
          <w:lang w:val="en-GB"/>
        </w:rPr>
        <w:t xml:space="preserve"> certainly</w:t>
      </w:r>
      <w:r w:rsidR="00B75ADB" w:rsidRPr="00AA64AE">
        <w:rPr>
          <w:lang w:val="en-GB"/>
        </w:rPr>
        <w:t xml:space="preserve"> were not offered a job, were above the age of 40.</w:t>
      </w:r>
      <w:r w:rsidR="00B01855">
        <w:rPr>
          <w:lang w:val="en-GB"/>
        </w:rPr>
        <w:t xml:space="preserve"> Therefore, there is no clear comparator to which </w:t>
      </w:r>
      <w:r w:rsidR="006352F7">
        <w:rPr>
          <w:lang w:val="en-GB"/>
        </w:rPr>
        <w:t xml:space="preserve">Plaintiff </w:t>
      </w:r>
      <w:r w:rsidR="006352F7">
        <w:rPr>
          <w:lang w:val="en-GB"/>
        </w:rPr>
        <w:lastRenderedPageBreak/>
        <w:t>II</w:t>
      </w:r>
      <w:r w:rsidR="00B01855">
        <w:rPr>
          <w:lang w:val="en-GB"/>
        </w:rPr>
        <w:t xml:space="preserve"> could refer to in order to compare </w:t>
      </w:r>
      <w:r w:rsidR="0077281C">
        <w:rPr>
          <w:lang w:val="en-GB"/>
        </w:rPr>
        <w:t xml:space="preserve">the </w:t>
      </w:r>
      <w:r w:rsidR="00B01855">
        <w:rPr>
          <w:lang w:val="en-GB"/>
        </w:rPr>
        <w:t>situation of younger workers to older workers.</w:t>
      </w:r>
      <w:r w:rsidR="00B75ADB" w:rsidRPr="00AA64AE">
        <w:rPr>
          <w:lang w:val="en-GB"/>
        </w:rPr>
        <w:t xml:space="preserve"> </w:t>
      </w:r>
      <w:r w:rsidR="00376D4A" w:rsidRPr="00AA64AE">
        <w:rPr>
          <w:lang w:val="en-GB"/>
        </w:rPr>
        <w:t>Besides, a</w:t>
      </w:r>
      <w:r w:rsidR="00B75ADB" w:rsidRPr="00AA64AE">
        <w:rPr>
          <w:lang w:val="en-GB"/>
        </w:rPr>
        <w:t>s a reasonable entrepre</w:t>
      </w:r>
      <w:r w:rsidR="009D609F" w:rsidRPr="00AA64AE">
        <w:rPr>
          <w:lang w:val="en-GB"/>
        </w:rPr>
        <w:t xml:space="preserve">neur, Y </w:t>
      </w:r>
      <w:r w:rsidR="00B72A5A" w:rsidRPr="00AA64AE">
        <w:rPr>
          <w:lang w:val="en-GB"/>
        </w:rPr>
        <w:t>is authorised to choose</w:t>
      </w:r>
      <w:r w:rsidR="009D609F" w:rsidRPr="00AA64AE">
        <w:rPr>
          <w:lang w:val="en-GB"/>
        </w:rPr>
        <w:t xml:space="preserve"> 5 employees, who</w:t>
      </w:r>
      <w:r w:rsidR="00B75ADB" w:rsidRPr="00AA64AE">
        <w:rPr>
          <w:lang w:val="en-GB"/>
        </w:rPr>
        <w:t xml:space="preserve"> </w:t>
      </w:r>
      <w:r w:rsidR="00E63ABD">
        <w:rPr>
          <w:lang w:val="en-GB"/>
        </w:rPr>
        <w:t>objectively</w:t>
      </w:r>
      <w:r w:rsidR="00E63ABD" w:rsidRPr="00AA64AE">
        <w:rPr>
          <w:lang w:val="en-GB"/>
        </w:rPr>
        <w:t xml:space="preserve"> </w:t>
      </w:r>
      <w:r w:rsidR="004F7D20">
        <w:rPr>
          <w:lang w:val="en-GB"/>
        </w:rPr>
        <w:t>have</w:t>
      </w:r>
      <w:r w:rsidR="009D609F" w:rsidRPr="00AA64AE">
        <w:rPr>
          <w:lang w:val="en-GB"/>
        </w:rPr>
        <w:t xml:space="preserve"> </w:t>
      </w:r>
      <w:r w:rsidR="00A8421B">
        <w:rPr>
          <w:lang w:val="en-GB"/>
        </w:rPr>
        <w:t xml:space="preserve">fitness and appearance </w:t>
      </w:r>
      <w:r w:rsidR="00975837">
        <w:rPr>
          <w:lang w:val="en-GB"/>
        </w:rPr>
        <w:t>necessary</w:t>
      </w:r>
      <w:r w:rsidR="000179E0">
        <w:rPr>
          <w:lang w:val="en-GB"/>
        </w:rPr>
        <w:t xml:space="preserve"> to fill the waiter</w:t>
      </w:r>
      <w:r w:rsidR="00B75ADB" w:rsidRPr="00AA64AE">
        <w:rPr>
          <w:lang w:val="en-GB"/>
        </w:rPr>
        <w:t xml:space="preserve"> </w:t>
      </w:r>
      <w:r w:rsidR="00A16F89" w:rsidRPr="00AA64AE">
        <w:rPr>
          <w:lang w:val="en-GB"/>
        </w:rPr>
        <w:t>vacancies</w:t>
      </w:r>
      <w:r w:rsidR="00B75ADB" w:rsidRPr="00AA64AE">
        <w:rPr>
          <w:lang w:val="en-GB"/>
        </w:rPr>
        <w:t xml:space="preserve">. The Company Y held a </w:t>
      </w:r>
      <w:r w:rsidR="00A8421B">
        <w:rPr>
          <w:lang w:val="en-GB"/>
        </w:rPr>
        <w:t xml:space="preserve">face-to-face </w:t>
      </w:r>
      <w:r w:rsidR="00CB5946">
        <w:rPr>
          <w:lang w:val="en-GB"/>
        </w:rPr>
        <w:t>meeting</w:t>
      </w:r>
      <w:r w:rsidR="00B75ADB" w:rsidRPr="00AA64AE">
        <w:rPr>
          <w:lang w:val="en-GB"/>
        </w:rPr>
        <w:t xml:space="preserve"> to verify waiters’ fitness for the job, which is </w:t>
      </w:r>
      <w:r w:rsidR="004836C5" w:rsidRPr="00AA64AE">
        <w:rPr>
          <w:lang w:val="en-GB"/>
        </w:rPr>
        <w:t>plain to see</w:t>
      </w:r>
      <w:r w:rsidR="00B75ADB" w:rsidRPr="00AA64AE">
        <w:rPr>
          <w:lang w:val="en-GB"/>
        </w:rPr>
        <w:t xml:space="preserve"> and does not require any</w:t>
      </w:r>
      <w:r w:rsidR="00EB35A8" w:rsidRPr="00AA64AE">
        <w:rPr>
          <w:lang w:val="en-GB"/>
        </w:rPr>
        <w:t xml:space="preserve"> specific tests to be conducted in that regard.</w:t>
      </w:r>
      <w:r w:rsidR="00214CC1">
        <w:rPr>
          <w:lang w:val="en-GB"/>
        </w:rPr>
        <w:t xml:space="preserve"> </w:t>
      </w:r>
      <w:r w:rsidR="001E4233">
        <w:rPr>
          <w:rFonts w:ascii="Times" w:hAnsi="Times"/>
          <w:lang w:val="en-GB"/>
        </w:rPr>
        <w:t>The D</w:t>
      </w:r>
      <w:r w:rsidR="00214CC1">
        <w:rPr>
          <w:rFonts w:ascii="Times" w:hAnsi="Times"/>
          <w:lang w:val="en-GB"/>
        </w:rPr>
        <w:t>efendant underlines that</w:t>
      </w:r>
      <w:r w:rsidR="0063774D">
        <w:rPr>
          <w:rFonts w:ascii="Times" w:hAnsi="Times"/>
          <w:lang w:val="en-GB"/>
        </w:rPr>
        <w:t xml:space="preserve"> neither fitness nor appearance</w:t>
      </w:r>
      <w:r w:rsidR="00214CC1">
        <w:rPr>
          <w:rFonts w:ascii="Times" w:hAnsi="Times"/>
          <w:lang w:val="en-GB"/>
        </w:rPr>
        <w:t xml:space="preserve"> </w:t>
      </w:r>
      <w:r w:rsidR="0063774D">
        <w:rPr>
          <w:rFonts w:ascii="Times" w:hAnsi="Times"/>
          <w:lang w:val="en-GB"/>
        </w:rPr>
        <w:t>constitute a</w:t>
      </w:r>
      <w:r w:rsidR="00214CC1">
        <w:rPr>
          <w:rFonts w:ascii="Times" w:hAnsi="Times"/>
          <w:lang w:val="en-GB"/>
        </w:rPr>
        <w:t xml:space="preserve"> discrimination criterion, as they have not been mentioned by the EU legislator in the exclusive list of discrimination criteria.</w:t>
      </w:r>
    </w:p>
    <w:p w14:paraId="013F7693" w14:textId="77777777" w:rsidR="00B75ADB" w:rsidRPr="00AA64AE" w:rsidRDefault="00B75ADB" w:rsidP="00B309AA">
      <w:pPr>
        <w:spacing w:line="360" w:lineRule="auto"/>
        <w:jc w:val="both"/>
        <w:rPr>
          <w:b/>
          <w:lang w:val="en-GB"/>
        </w:rPr>
      </w:pPr>
    </w:p>
    <w:p w14:paraId="7AB48C70" w14:textId="2AF3CEC3" w:rsidR="00B75ADB" w:rsidRPr="00AA64AE" w:rsidRDefault="00B75ADB" w:rsidP="005E7284">
      <w:pPr>
        <w:pStyle w:val="Kop4"/>
      </w:pPr>
      <w:r w:rsidRPr="00AA64AE">
        <w:t xml:space="preserve">Physical fitness as a </w:t>
      </w:r>
      <w:r w:rsidR="00290E11">
        <w:t>genuine occupational requirement</w:t>
      </w:r>
    </w:p>
    <w:p w14:paraId="7B7C96E0" w14:textId="77777777" w:rsidR="00B75ADB" w:rsidRPr="00AA64AE" w:rsidRDefault="00B75ADB" w:rsidP="00B75ADB">
      <w:pPr>
        <w:spacing w:line="360" w:lineRule="auto"/>
        <w:ind w:left="360"/>
        <w:jc w:val="both"/>
        <w:rPr>
          <w:lang w:val="en-GB"/>
        </w:rPr>
      </w:pPr>
    </w:p>
    <w:p w14:paraId="75B51438" w14:textId="214E3BCF" w:rsidR="00B75ADB" w:rsidRPr="00AA64AE" w:rsidRDefault="00B309AA" w:rsidP="00B75ADB">
      <w:pPr>
        <w:spacing w:line="360" w:lineRule="auto"/>
        <w:ind w:left="720"/>
        <w:jc w:val="both"/>
        <w:rPr>
          <w:lang w:val="en-GB"/>
        </w:rPr>
      </w:pPr>
      <w:r>
        <w:rPr>
          <w:lang w:val="en-GB"/>
        </w:rPr>
        <w:t>T</w:t>
      </w:r>
      <w:r w:rsidR="00953018">
        <w:rPr>
          <w:lang w:val="en-GB"/>
        </w:rPr>
        <w:t>h</w:t>
      </w:r>
      <w:r w:rsidR="00B75ADB" w:rsidRPr="00AA64AE">
        <w:rPr>
          <w:lang w:val="en-GB"/>
        </w:rPr>
        <w:t>e circumstances of the case</w:t>
      </w:r>
      <w:r w:rsidR="00715684" w:rsidRPr="00AA64AE">
        <w:rPr>
          <w:lang w:val="en-GB"/>
        </w:rPr>
        <w:t xml:space="preserve"> </w:t>
      </w:r>
      <w:r w:rsidR="00075627">
        <w:rPr>
          <w:lang w:val="en-GB"/>
        </w:rPr>
        <w:t xml:space="preserve">point out that </w:t>
      </w:r>
      <w:r w:rsidR="00B75ADB" w:rsidRPr="00AA64AE">
        <w:rPr>
          <w:lang w:val="en-GB"/>
        </w:rPr>
        <w:t xml:space="preserve">different treatment </w:t>
      </w:r>
      <w:r w:rsidR="00953018">
        <w:rPr>
          <w:lang w:val="en-GB"/>
        </w:rPr>
        <w:t xml:space="preserve">was based on the age-related characteristics, so it </w:t>
      </w:r>
      <w:r w:rsidR="00B75ADB" w:rsidRPr="00AA64AE">
        <w:rPr>
          <w:lang w:val="en-GB"/>
        </w:rPr>
        <w:t>falls into justified exceptions provided by the 2000/78 Directive</w:t>
      </w:r>
      <w:r w:rsidR="00454BFF" w:rsidRPr="00AA64AE">
        <w:rPr>
          <w:lang w:val="en-GB"/>
        </w:rPr>
        <w:t xml:space="preserve"> and therefore</w:t>
      </w:r>
      <w:r w:rsidR="0005261F" w:rsidRPr="00AA64AE">
        <w:rPr>
          <w:lang w:val="en-GB"/>
        </w:rPr>
        <w:t xml:space="preserve"> </w:t>
      </w:r>
      <w:r w:rsidR="00454BFF" w:rsidRPr="00AA64AE">
        <w:rPr>
          <w:lang w:val="en-GB"/>
        </w:rPr>
        <w:t>does not constitute discrimination.</w:t>
      </w:r>
    </w:p>
    <w:p w14:paraId="48886EA6" w14:textId="3DB975F2" w:rsidR="00685198" w:rsidRDefault="00AB03BE" w:rsidP="00F51EAA">
      <w:pPr>
        <w:spacing w:line="360" w:lineRule="auto"/>
        <w:ind w:left="720"/>
        <w:jc w:val="both"/>
        <w:rPr>
          <w:lang w:val="en-GB"/>
        </w:rPr>
      </w:pPr>
      <w:r>
        <w:rPr>
          <w:lang w:val="en-GB"/>
        </w:rPr>
        <w:t>According to the art.4 par.</w:t>
      </w:r>
      <w:r w:rsidR="00454BFF" w:rsidRPr="00AA64AE">
        <w:rPr>
          <w:lang w:val="en-GB"/>
        </w:rPr>
        <w:t>1 of the 2000/78 Directive, a difference in treatment based on a characteristic does not constitute discrimination where by reason of the nature of the particular occupational activi</w:t>
      </w:r>
      <w:r w:rsidR="005E5541" w:rsidRPr="00AA64AE">
        <w:rPr>
          <w:lang w:val="en-GB"/>
        </w:rPr>
        <w:t xml:space="preserve">ties concerned or </w:t>
      </w:r>
      <w:r w:rsidR="00454BFF" w:rsidRPr="00AA64AE">
        <w:rPr>
          <w:lang w:val="en-GB"/>
        </w:rPr>
        <w:t>the context in which they are carried out, such a characteristic constitutes a genuine and determining occupational requirement, as long as the objective is legitimate, while the requirement is proportionate.</w:t>
      </w:r>
      <w:r w:rsidR="00EA6B6A" w:rsidRPr="00AA64AE">
        <w:rPr>
          <w:lang w:val="en-GB"/>
        </w:rPr>
        <w:t xml:space="preserve"> </w:t>
      </w:r>
      <w:r w:rsidR="00F21EE1" w:rsidRPr="00AA64AE">
        <w:rPr>
          <w:lang w:val="en-GB"/>
        </w:rPr>
        <w:t>According to</w:t>
      </w:r>
      <w:r>
        <w:rPr>
          <w:lang w:val="en-GB"/>
        </w:rPr>
        <w:t xml:space="preserve"> the legal writers, art.4 par.</w:t>
      </w:r>
      <w:r w:rsidR="00F21EE1" w:rsidRPr="00AA64AE">
        <w:rPr>
          <w:lang w:val="en-GB"/>
        </w:rPr>
        <w:t>1 provides that there may be</w:t>
      </w:r>
      <w:r w:rsidR="00E32AB9" w:rsidRPr="00AA64AE">
        <w:rPr>
          <w:lang w:val="en-GB"/>
        </w:rPr>
        <w:t xml:space="preserve"> some</w:t>
      </w:r>
      <w:r w:rsidR="00F21EE1" w:rsidRPr="00AA64AE">
        <w:rPr>
          <w:lang w:val="en-GB"/>
        </w:rPr>
        <w:t xml:space="preserve"> </w:t>
      </w:r>
      <w:r w:rsidR="00037554" w:rsidRPr="00AA64AE">
        <w:rPr>
          <w:lang w:val="en-GB"/>
        </w:rPr>
        <w:t>circumsta</w:t>
      </w:r>
      <w:r w:rsidR="003300A9" w:rsidRPr="00AA64AE">
        <w:rPr>
          <w:lang w:val="en-GB"/>
        </w:rPr>
        <w:t>nces under which an employer can</w:t>
      </w:r>
      <w:r w:rsidR="00037554" w:rsidRPr="00AA64AE">
        <w:rPr>
          <w:lang w:val="en-GB"/>
        </w:rPr>
        <w:t xml:space="preserve"> decide not to choose an older worker when hiring, based on legitimate reasons “</w:t>
      </w:r>
      <w:r w:rsidR="00037554" w:rsidRPr="00AA64AE">
        <w:rPr>
          <w:b/>
          <w:i/>
          <w:lang w:val="en-GB"/>
        </w:rPr>
        <w:t>relating to the responsibilities of the job in question or business-related reasons</w:t>
      </w:r>
      <w:r w:rsidR="00037554" w:rsidRPr="00AA64AE">
        <w:rPr>
          <w:lang w:val="en-GB"/>
        </w:rPr>
        <w:t xml:space="preserve">”. Again, employer’s interests must also be </w:t>
      </w:r>
      <w:r w:rsidR="00622026">
        <w:rPr>
          <w:lang w:val="en-GB"/>
        </w:rPr>
        <w:t>considered</w:t>
      </w:r>
      <w:r w:rsidR="00037554" w:rsidRPr="00AA64AE">
        <w:rPr>
          <w:lang w:val="en-GB"/>
        </w:rPr>
        <w:t>, as anti-discrimination legislation “</w:t>
      </w:r>
      <w:r w:rsidR="00037554" w:rsidRPr="00AA64AE">
        <w:rPr>
          <w:i/>
          <w:lang w:val="en-GB"/>
        </w:rPr>
        <w:t>is meant to be equitable</w:t>
      </w:r>
      <w:r w:rsidR="00037554" w:rsidRPr="00AA64AE">
        <w:rPr>
          <w:lang w:val="en-GB"/>
        </w:rPr>
        <w:t xml:space="preserve">” – </w:t>
      </w:r>
      <w:r w:rsidR="00CC64C9" w:rsidRPr="00AA64AE">
        <w:rPr>
          <w:lang w:val="en-GB"/>
        </w:rPr>
        <w:t>which means that</w:t>
      </w:r>
      <w:r w:rsidR="00037554" w:rsidRPr="00AA64AE">
        <w:rPr>
          <w:lang w:val="en-GB"/>
        </w:rPr>
        <w:t xml:space="preserve"> employer has to be allowe</w:t>
      </w:r>
      <w:r w:rsidR="00A77BCD" w:rsidRPr="00AA64AE">
        <w:rPr>
          <w:lang w:val="en-GB"/>
        </w:rPr>
        <w:t>d to hire only younger staff when</w:t>
      </w:r>
      <w:r w:rsidR="00037554" w:rsidRPr="00AA64AE">
        <w:rPr>
          <w:lang w:val="en-GB"/>
        </w:rPr>
        <w:t xml:space="preserve"> justified by the circumstances</w:t>
      </w:r>
      <w:r w:rsidR="00037554" w:rsidRPr="00AA64AE">
        <w:rPr>
          <w:rStyle w:val="Voetnootmarkering"/>
          <w:lang w:val="en-GB"/>
        </w:rPr>
        <w:footnoteReference w:id="35"/>
      </w:r>
      <w:r w:rsidR="00037554" w:rsidRPr="00AA64AE">
        <w:rPr>
          <w:lang w:val="en-GB"/>
        </w:rPr>
        <w:t>.</w:t>
      </w:r>
      <w:r w:rsidR="00897C47" w:rsidRPr="00AA64AE">
        <w:rPr>
          <w:lang w:val="en-GB"/>
        </w:rPr>
        <w:t xml:space="preserve"> </w:t>
      </w:r>
      <w:r w:rsidR="00CB250C">
        <w:rPr>
          <w:lang w:val="en-GB"/>
        </w:rPr>
        <w:t>Moreover, i</w:t>
      </w:r>
      <w:r w:rsidR="00CB250C" w:rsidRPr="00AA64AE">
        <w:rPr>
          <w:lang w:val="en-GB"/>
        </w:rPr>
        <w:t xml:space="preserve">t is important to mark that Hungarian law is considered to be very elastic in this regard, as </w:t>
      </w:r>
      <w:r w:rsidR="00EC3A10">
        <w:rPr>
          <w:lang w:val="en-GB"/>
        </w:rPr>
        <w:t>occupational requirements were</w:t>
      </w:r>
      <w:r w:rsidR="00CB250C" w:rsidRPr="00AA64AE">
        <w:rPr>
          <w:lang w:val="en-GB"/>
        </w:rPr>
        <w:t xml:space="preserve"> not defined in the Hungarian age discrimination legislation</w:t>
      </w:r>
      <w:r w:rsidR="00CB250C" w:rsidRPr="00AA64AE">
        <w:rPr>
          <w:rStyle w:val="Voetnootmarkering"/>
          <w:lang w:val="en-GB"/>
        </w:rPr>
        <w:footnoteReference w:id="36"/>
      </w:r>
      <w:r w:rsidR="00CB250C" w:rsidRPr="00AA64AE">
        <w:rPr>
          <w:i/>
          <w:lang w:val="en-GB"/>
        </w:rPr>
        <w:t>.</w:t>
      </w:r>
      <w:r>
        <w:rPr>
          <w:lang w:val="en-GB"/>
        </w:rPr>
        <w:t xml:space="preserve"> Indeed, the art.</w:t>
      </w:r>
      <w:r w:rsidR="005301FC">
        <w:rPr>
          <w:lang w:val="en-GB"/>
        </w:rPr>
        <w:t xml:space="preserve"> </w:t>
      </w:r>
      <w:r>
        <w:rPr>
          <w:lang w:val="en-GB"/>
        </w:rPr>
        <w:t>22 par.</w:t>
      </w:r>
      <w:r w:rsidR="00CB250C" w:rsidRPr="00AA64AE">
        <w:rPr>
          <w:lang w:val="en-GB"/>
        </w:rPr>
        <w:t xml:space="preserve">1 of </w:t>
      </w:r>
      <w:r w:rsidR="00CB250C" w:rsidRPr="00AA64AE">
        <w:rPr>
          <w:lang w:val="en-US"/>
        </w:rPr>
        <w:t>the Act CXXV of 2003 on Equal Treatment and the P</w:t>
      </w:r>
      <w:r w:rsidR="00CB250C">
        <w:rPr>
          <w:lang w:val="en-US"/>
        </w:rPr>
        <w:t>romotion of Equal Opportunities</w:t>
      </w:r>
      <w:r w:rsidR="00CB250C" w:rsidRPr="00AA64AE">
        <w:rPr>
          <w:lang w:val="en-GB"/>
        </w:rPr>
        <w:t xml:space="preserve"> states that the principle of equal treatment is not violated if </w:t>
      </w:r>
      <w:r w:rsidR="00CB250C">
        <w:rPr>
          <w:lang w:val="en-GB"/>
        </w:rPr>
        <w:t>“</w:t>
      </w:r>
      <w:r w:rsidR="00CB250C" w:rsidRPr="00AA64AE">
        <w:rPr>
          <w:i/>
          <w:lang w:val="en-GB"/>
        </w:rPr>
        <w:t xml:space="preserve">the discrimination is proportional, justified by the characteristic or nature of the work and is </w:t>
      </w:r>
      <w:r w:rsidR="00CB250C" w:rsidRPr="00FF78A9">
        <w:rPr>
          <w:b/>
          <w:i/>
          <w:lang w:val="en-GB"/>
        </w:rPr>
        <w:t xml:space="preserve">based on all relevant and legitimate terms </w:t>
      </w:r>
      <w:r w:rsidR="00CB250C" w:rsidRPr="00FF78A9">
        <w:rPr>
          <w:b/>
          <w:i/>
          <w:lang w:val="en-GB"/>
        </w:rPr>
        <w:lastRenderedPageBreak/>
        <w:t>and conditions</w:t>
      </w:r>
      <w:r w:rsidR="00CB250C">
        <w:rPr>
          <w:lang w:val="en-GB"/>
        </w:rPr>
        <w:t>”</w:t>
      </w:r>
      <w:r w:rsidR="00CB250C" w:rsidRPr="00AA64AE">
        <w:rPr>
          <w:lang w:val="en-GB"/>
        </w:rPr>
        <w:t>.</w:t>
      </w:r>
      <w:r w:rsidR="00CB250C" w:rsidRPr="00FF78A9">
        <w:rPr>
          <w:lang w:val="en-GB"/>
        </w:rPr>
        <w:t xml:space="preserve"> </w:t>
      </w:r>
      <w:r w:rsidR="00CB250C" w:rsidRPr="00AA64AE">
        <w:rPr>
          <w:lang w:val="en-GB"/>
        </w:rPr>
        <w:t>Therefore, the Court should remain flexible as to the use of this provision and assess it on a case-by-case basis.</w:t>
      </w:r>
    </w:p>
    <w:p w14:paraId="780D0070" w14:textId="5EECF40F" w:rsidR="00AA1B1A" w:rsidRDefault="00685198" w:rsidP="00F51EAA">
      <w:pPr>
        <w:spacing w:line="360" w:lineRule="auto"/>
        <w:ind w:left="720"/>
        <w:jc w:val="both"/>
        <w:rPr>
          <w:lang w:val="en-GB"/>
        </w:rPr>
      </w:pPr>
      <w:r>
        <w:rPr>
          <w:lang w:val="en-GB"/>
        </w:rPr>
        <w:t>T</w:t>
      </w:r>
      <w:r w:rsidR="00A37A00" w:rsidRPr="00AA64AE">
        <w:rPr>
          <w:lang w:val="en-GB"/>
        </w:rPr>
        <w:t>he CJEU has already stated</w:t>
      </w:r>
      <w:r w:rsidR="003B3684" w:rsidRPr="00AA64AE">
        <w:rPr>
          <w:lang w:val="en-GB"/>
        </w:rPr>
        <w:t xml:space="preserve"> in the </w:t>
      </w:r>
      <w:r w:rsidR="003B3684" w:rsidRPr="00AA64AE">
        <w:rPr>
          <w:i/>
          <w:lang w:val="en-GB"/>
        </w:rPr>
        <w:t>Wolf</w:t>
      </w:r>
      <w:r w:rsidR="003B3684" w:rsidRPr="00AA64AE">
        <w:rPr>
          <w:lang w:val="en-GB"/>
        </w:rPr>
        <w:t xml:space="preserve"> case</w:t>
      </w:r>
      <w:r w:rsidR="00A37A00" w:rsidRPr="00AA64AE">
        <w:rPr>
          <w:lang w:val="en-GB"/>
        </w:rPr>
        <w:t xml:space="preserve"> that physical fitness (“</w:t>
      </w:r>
      <w:r w:rsidR="00A37A00" w:rsidRPr="00AA64AE">
        <w:rPr>
          <w:i/>
          <w:lang w:val="en-GB"/>
        </w:rPr>
        <w:t>the need to possess high physical capacities</w:t>
      </w:r>
      <w:r w:rsidR="00A37A00" w:rsidRPr="00AA64AE">
        <w:rPr>
          <w:lang w:val="en-GB"/>
        </w:rPr>
        <w:t>”) is a characteristic related to age. The Court accepted the scie</w:t>
      </w:r>
      <w:r w:rsidR="00872CC7">
        <w:rPr>
          <w:lang w:val="en-GB"/>
        </w:rPr>
        <w:t>ntific data it was provided</w:t>
      </w:r>
      <w:r w:rsidR="00A37A00" w:rsidRPr="00AA64AE">
        <w:rPr>
          <w:lang w:val="en-GB"/>
        </w:rPr>
        <w:t>, according to which “</w:t>
      </w:r>
      <w:r w:rsidR="00A37A00" w:rsidRPr="00AA64AE">
        <w:rPr>
          <w:i/>
          <w:lang w:val="en-GB"/>
        </w:rPr>
        <w:t>respiratory capacity, musculature and endurance diminish with age</w:t>
      </w:r>
      <w:r w:rsidR="00506D35">
        <w:rPr>
          <w:lang w:val="en-GB"/>
        </w:rPr>
        <w:t>” and confirmed that</w:t>
      </w:r>
      <w:r w:rsidR="00A37A00" w:rsidRPr="00AA64AE">
        <w:rPr>
          <w:lang w:val="en-GB"/>
        </w:rPr>
        <w:t xml:space="preserve"> the requirement of physical fitness may be regarded as a “</w:t>
      </w:r>
      <w:r w:rsidR="00A37A00" w:rsidRPr="00AA64AE">
        <w:rPr>
          <w:i/>
          <w:lang w:val="en-GB"/>
        </w:rPr>
        <w:t>genuine and determining occupational requirement</w:t>
      </w:r>
      <w:r w:rsidR="00A37A00" w:rsidRPr="00AA64AE">
        <w:rPr>
          <w:lang w:val="en-GB"/>
        </w:rPr>
        <w:t>”</w:t>
      </w:r>
      <w:r w:rsidR="00EE7468" w:rsidRPr="00AA64AE">
        <w:rPr>
          <w:lang w:val="en-GB"/>
        </w:rPr>
        <w:t xml:space="preserve">. In </w:t>
      </w:r>
      <w:r w:rsidR="003B3684" w:rsidRPr="00AA64AE">
        <w:rPr>
          <w:lang w:val="en-GB"/>
        </w:rPr>
        <w:t>that</w:t>
      </w:r>
      <w:r w:rsidR="00EE7468" w:rsidRPr="00AA64AE">
        <w:rPr>
          <w:lang w:val="en-GB"/>
        </w:rPr>
        <w:t xml:space="preserve"> case, 30</w:t>
      </w:r>
      <w:r w:rsidR="0065730B" w:rsidRPr="00AA64AE">
        <w:rPr>
          <w:lang w:val="en-GB"/>
        </w:rPr>
        <w:t xml:space="preserve"> years as the maximum age limit for recruitment in the fire service was considered as legitimate and proportionate</w:t>
      </w:r>
      <w:r w:rsidR="0065730B" w:rsidRPr="00AA64AE">
        <w:rPr>
          <w:rStyle w:val="Voetnootmarkering"/>
          <w:lang w:val="en-GB"/>
        </w:rPr>
        <w:footnoteReference w:id="37"/>
      </w:r>
      <w:r w:rsidR="00A37A00" w:rsidRPr="00AA64AE">
        <w:rPr>
          <w:lang w:val="en-GB"/>
        </w:rPr>
        <w:t>.</w:t>
      </w:r>
      <w:r w:rsidR="00AA1B1A">
        <w:rPr>
          <w:lang w:val="en-GB"/>
        </w:rPr>
        <w:t xml:space="preserve"> Also in </w:t>
      </w:r>
      <w:r w:rsidR="00B21FE5">
        <w:rPr>
          <w:lang w:val="en-GB"/>
        </w:rPr>
        <w:t xml:space="preserve">the </w:t>
      </w:r>
      <w:r w:rsidR="00AA1B1A" w:rsidRPr="00AA1B1A">
        <w:rPr>
          <w:i/>
          <w:lang w:val="en-GB"/>
        </w:rPr>
        <w:t xml:space="preserve">Prigge </w:t>
      </w:r>
      <w:r w:rsidR="00AA1B1A">
        <w:rPr>
          <w:lang w:val="en-GB"/>
        </w:rPr>
        <w:t xml:space="preserve">case, the CJEU confirmed that particular physical capabilities may be required </w:t>
      </w:r>
      <w:r w:rsidR="00F51EAA">
        <w:rPr>
          <w:lang w:val="en-GB"/>
        </w:rPr>
        <w:t xml:space="preserve">in some professions </w:t>
      </w:r>
      <w:r w:rsidR="00AA1B1A">
        <w:rPr>
          <w:lang w:val="en-GB"/>
        </w:rPr>
        <w:t>and it is “</w:t>
      </w:r>
      <w:r w:rsidR="00AA1B1A" w:rsidRPr="002F739B">
        <w:rPr>
          <w:b/>
          <w:i/>
          <w:lang w:val="en-GB"/>
        </w:rPr>
        <w:t>undeniable that those capabilities diminish with age</w:t>
      </w:r>
      <w:r w:rsidR="00AA1B1A">
        <w:rPr>
          <w:lang w:val="en-GB"/>
        </w:rPr>
        <w:t>”.</w:t>
      </w:r>
      <w:r w:rsidR="00D511A0">
        <w:rPr>
          <w:lang w:val="en-GB"/>
        </w:rPr>
        <w:t xml:space="preserve"> </w:t>
      </w:r>
      <w:r w:rsidR="006352F7">
        <w:rPr>
          <w:lang w:val="en-GB"/>
        </w:rPr>
        <w:t>Thus,</w:t>
      </w:r>
      <w:r w:rsidR="00F51EAA">
        <w:rPr>
          <w:lang w:val="en-GB"/>
        </w:rPr>
        <w:t xml:space="preserve"> </w:t>
      </w:r>
      <w:r w:rsidR="005D44C9">
        <w:rPr>
          <w:lang w:val="en-GB"/>
        </w:rPr>
        <w:t>such</w:t>
      </w:r>
      <w:r w:rsidR="00F51EAA">
        <w:rPr>
          <w:lang w:val="en-GB"/>
        </w:rPr>
        <w:t xml:space="preserve"> physical capabilities may constitute a genuine and determining occupational requirement related to age</w:t>
      </w:r>
      <w:r w:rsidR="00F51EAA">
        <w:rPr>
          <w:rStyle w:val="Voetnootmarkering"/>
          <w:lang w:val="en-GB"/>
        </w:rPr>
        <w:footnoteReference w:id="38"/>
      </w:r>
      <w:r w:rsidR="00F51EAA">
        <w:rPr>
          <w:lang w:val="en-GB"/>
        </w:rPr>
        <w:t>.</w:t>
      </w:r>
    </w:p>
    <w:p w14:paraId="5751C5D3" w14:textId="64C21CEF" w:rsidR="00D71A8B" w:rsidRPr="00F51EAA" w:rsidRDefault="00FE4DEB" w:rsidP="00F51EAA">
      <w:pPr>
        <w:spacing w:line="360" w:lineRule="auto"/>
        <w:ind w:left="720"/>
        <w:jc w:val="both"/>
        <w:rPr>
          <w:lang w:val="en-GB"/>
        </w:rPr>
      </w:pPr>
      <w:r>
        <w:rPr>
          <w:lang w:val="en-GB"/>
        </w:rPr>
        <w:t>The scientific data show indeed that as we grow older, there is a “</w:t>
      </w:r>
      <w:r w:rsidRPr="008D7396">
        <w:rPr>
          <w:i/>
          <w:lang w:val="en-GB"/>
        </w:rPr>
        <w:t>gradual loss of muscle mass</w:t>
      </w:r>
      <w:r>
        <w:rPr>
          <w:lang w:val="en-GB"/>
        </w:rPr>
        <w:t>” which results in their weakening. Other important sig</w:t>
      </w:r>
      <w:r w:rsidR="00C85A76">
        <w:rPr>
          <w:lang w:val="en-GB"/>
        </w:rPr>
        <w:t>ns of ageing include</w:t>
      </w:r>
      <w:r w:rsidR="008D7396">
        <w:rPr>
          <w:lang w:val="en-GB"/>
        </w:rPr>
        <w:t>:</w:t>
      </w:r>
      <w:r>
        <w:rPr>
          <w:lang w:val="en-GB"/>
        </w:rPr>
        <w:t xml:space="preserve"> vision impairment, hearing loss, worse respiratory ca</w:t>
      </w:r>
      <w:r w:rsidR="00C85A76">
        <w:rPr>
          <w:lang w:val="en-GB"/>
        </w:rPr>
        <w:t>pacity, decreasing bone density leading to</w:t>
      </w:r>
      <w:r>
        <w:rPr>
          <w:lang w:val="en-GB"/>
        </w:rPr>
        <w:t xml:space="preserve"> more frequent fractures,</w:t>
      </w:r>
      <w:r w:rsidR="008D7396">
        <w:rPr>
          <w:lang w:val="en-GB"/>
        </w:rPr>
        <w:t xml:space="preserve"> weaker immune system and susceptibility to infection</w:t>
      </w:r>
      <w:r w:rsidR="00C85A76">
        <w:rPr>
          <w:lang w:val="en-GB"/>
        </w:rPr>
        <w:t xml:space="preserve"> or</w:t>
      </w:r>
      <w:r w:rsidR="00C82197">
        <w:rPr>
          <w:lang w:val="en-GB"/>
        </w:rPr>
        <w:t xml:space="preserve"> sleep problems</w:t>
      </w:r>
      <w:r w:rsidR="00C85A76">
        <w:rPr>
          <w:rStyle w:val="Voetnootmarkering"/>
          <w:lang w:val="en-GB"/>
        </w:rPr>
        <w:footnoteReference w:id="39"/>
      </w:r>
      <w:r w:rsidR="00C85A76">
        <w:rPr>
          <w:lang w:val="en-GB"/>
        </w:rPr>
        <w:t xml:space="preserve">. Therefore, older workers are more prone to get sick or to sustain </w:t>
      </w:r>
      <w:r w:rsidR="00377A93">
        <w:rPr>
          <w:lang w:val="en-GB"/>
        </w:rPr>
        <w:t>an accident at work, especially if they are engaged in physical labour. The aforementioned signs of ageing indicate that older</w:t>
      </w:r>
      <w:r w:rsidR="001D6616">
        <w:rPr>
          <w:lang w:val="en-GB"/>
        </w:rPr>
        <w:t xml:space="preserve"> candidates for</w:t>
      </w:r>
      <w:r w:rsidR="00377A93">
        <w:rPr>
          <w:lang w:val="en-GB"/>
        </w:rPr>
        <w:t xml:space="preserve"> waiters are not able to p</w:t>
      </w:r>
      <w:r w:rsidR="00D00066">
        <w:rPr>
          <w:lang w:val="en-GB"/>
        </w:rPr>
        <w:t xml:space="preserve">erform their functions </w:t>
      </w:r>
      <w:r w:rsidR="001D6616">
        <w:rPr>
          <w:lang w:val="en-GB"/>
        </w:rPr>
        <w:t>as good as younger candidates</w:t>
      </w:r>
      <w:r w:rsidR="00377A93">
        <w:rPr>
          <w:lang w:val="en-GB"/>
        </w:rPr>
        <w:t xml:space="preserve"> since they are </w:t>
      </w:r>
      <w:r w:rsidR="001D6616">
        <w:rPr>
          <w:lang w:val="en-GB"/>
        </w:rPr>
        <w:t xml:space="preserve">physically </w:t>
      </w:r>
      <w:r w:rsidR="00377A93">
        <w:rPr>
          <w:lang w:val="en-GB"/>
        </w:rPr>
        <w:t xml:space="preserve">weaker and their basic </w:t>
      </w:r>
      <w:r w:rsidR="00893C5F">
        <w:rPr>
          <w:lang w:val="en-GB"/>
        </w:rPr>
        <w:t>senses – hearing and eyesight – worsen gradually.</w:t>
      </w:r>
      <w:r w:rsidR="00D00066">
        <w:rPr>
          <w:lang w:val="en-GB"/>
        </w:rPr>
        <w:t xml:space="preserve"> It is hard to imagine that a waiter with poor eyesight and impaired hearing is able to function smoothly in a restaurant – receive orders, carry plates, etc.</w:t>
      </w:r>
    </w:p>
    <w:p w14:paraId="0A9BA631" w14:textId="1D02C6C1" w:rsidR="00B53E0E" w:rsidRDefault="00B53E0E" w:rsidP="00B53E0E">
      <w:pPr>
        <w:spacing w:line="360" w:lineRule="auto"/>
        <w:ind w:left="720"/>
        <w:jc w:val="both"/>
        <w:rPr>
          <w:lang w:val="en-GB"/>
        </w:rPr>
      </w:pPr>
      <w:r w:rsidRPr="00AA64AE">
        <w:rPr>
          <w:lang w:val="en-GB"/>
        </w:rPr>
        <w:t xml:space="preserve">Thus, in the case at issue, </w:t>
      </w:r>
      <w:r w:rsidR="002D0997">
        <w:rPr>
          <w:lang w:val="en-GB"/>
        </w:rPr>
        <w:t>Plaintiff</w:t>
      </w:r>
      <w:r w:rsidR="006352F7">
        <w:rPr>
          <w:lang w:val="en-GB"/>
        </w:rPr>
        <w:t xml:space="preserve"> II is</w:t>
      </w:r>
      <w:r w:rsidRPr="00AA64AE">
        <w:rPr>
          <w:lang w:val="en-GB"/>
        </w:rPr>
        <w:t xml:space="preserve"> 61 years old. This job requires not only full physical fitness and mobility, but also the ability to react quickly</w:t>
      </w:r>
      <w:r w:rsidR="00EC205E">
        <w:rPr>
          <w:lang w:val="en-GB"/>
        </w:rPr>
        <w:t xml:space="preserve"> and good memory</w:t>
      </w:r>
      <w:r w:rsidRPr="00AA64AE">
        <w:rPr>
          <w:lang w:val="en-GB"/>
        </w:rPr>
        <w:t xml:space="preserve">. Waiters </w:t>
      </w:r>
      <w:r w:rsidR="00EC205E">
        <w:rPr>
          <w:lang w:val="en-GB"/>
        </w:rPr>
        <w:t xml:space="preserve">in an exclusive restaurant </w:t>
      </w:r>
      <w:r w:rsidRPr="00AA64AE">
        <w:rPr>
          <w:lang w:val="en-GB"/>
        </w:rPr>
        <w:t xml:space="preserve">often have to carry trays with glasses or many dishes at once which may be not only heavy and hard to handle but also easy to drop. They also have to perform all different sorts of functions which require dexterity, such as opening bottles of wine or pouring beverages. They always have to remain vigilant and </w:t>
      </w:r>
      <w:r w:rsidRPr="00AA64AE">
        <w:rPr>
          <w:lang w:val="en-GB"/>
        </w:rPr>
        <w:lastRenderedPageBreak/>
        <w:t xml:space="preserve">attentive, keep their eye on what is happening in the restaurant and be ready to respond to any wishes that customers may have. After reaching a certain age, one is no longer able to perform all those functions fast and impeccably, while every exclusive restaurant must have flawless waiter service if it wants to keep its high-ranking status. </w:t>
      </w:r>
      <w:r w:rsidR="00EB6F2F">
        <w:rPr>
          <w:lang w:val="en-GB"/>
        </w:rPr>
        <w:t xml:space="preserve">Besides, </w:t>
      </w:r>
      <w:r w:rsidR="00914F25">
        <w:rPr>
          <w:lang w:val="en-GB"/>
        </w:rPr>
        <w:t>hiring an older waiter could not only</w:t>
      </w:r>
      <w:r w:rsidR="00EB6F2F">
        <w:rPr>
          <w:lang w:val="en-GB"/>
        </w:rPr>
        <w:t xml:space="preserve"> pose</w:t>
      </w:r>
      <w:r w:rsidR="00555D0D">
        <w:rPr>
          <w:lang w:val="en-GB"/>
        </w:rPr>
        <w:t xml:space="preserve"> </w:t>
      </w:r>
      <w:r w:rsidR="00EB6F2F">
        <w:rPr>
          <w:lang w:val="en-GB"/>
        </w:rPr>
        <w:t xml:space="preserve">a </w:t>
      </w:r>
      <w:r w:rsidR="00555D0D">
        <w:rPr>
          <w:lang w:val="en-GB"/>
        </w:rPr>
        <w:t>threat to</w:t>
      </w:r>
      <w:r w:rsidR="00EB6F2F">
        <w:rPr>
          <w:lang w:val="en-GB"/>
        </w:rPr>
        <w:t xml:space="preserve"> </w:t>
      </w:r>
      <w:r w:rsidR="00555D0D">
        <w:rPr>
          <w:lang w:val="en-GB"/>
        </w:rPr>
        <w:t>the restaurant’s quality and reputation, but also to the customers themselves</w:t>
      </w:r>
      <w:r w:rsidR="007B4C47">
        <w:rPr>
          <w:lang w:val="en-GB"/>
        </w:rPr>
        <w:t>,</w:t>
      </w:r>
      <w:r w:rsidR="00555D0D">
        <w:rPr>
          <w:lang w:val="en-GB"/>
        </w:rPr>
        <w:t xml:space="preserve"> who must be served in a safe way (a</w:t>
      </w:r>
      <w:r w:rsidR="007B4C47">
        <w:rPr>
          <w:lang w:val="en-GB"/>
        </w:rPr>
        <w:t>fter all,</w:t>
      </w:r>
      <w:r w:rsidR="00555D0D">
        <w:rPr>
          <w:lang w:val="en-GB"/>
        </w:rPr>
        <w:t xml:space="preserve"> waiter</w:t>
      </w:r>
      <w:r w:rsidR="008B6384">
        <w:rPr>
          <w:lang w:val="en-GB"/>
        </w:rPr>
        <w:t>s carry</w:t>
      </w:r>
      <w:r w:rsidR="00555D0D">
        <w:rPr>
          <w:lang w:val="en-GB"/>
        </w:rPr>
        <w:t xml:space="preserve"> </w:t>
      </w:r>
      <w:r w:rsidR="008B6384">
        <w:rPr>
          <w:lang w:val="en-GB"/>
        </w:rPr>
        <w:t>a lot of</w:t>
      </w:r>
      <w:r w:rsidR="00555D0D">
        <w:rPr>
          <w:lang w:val="en-GB"/>
        </w:rPr>
        <w:t xml:space="preserve"> potentially dangerous things, including hot dishes</w:t>
      </w:r>
      <w:r w:rsidR="0090288D">
        <w:rPr>
          <w:lang w:val="en-GB"/>
        </w:rPr>
        <w:t xml:space="preserve">, heavy glass </w:t>
      </w:r>
      <w:r w:rsidR="003455F9">
        <w:rPr>
          <w:lang w:val="en-GB"/>
        </w:rPr>
        <w:t>or sharp cutlery)</w:t>
      </w:r>
      <w:r w:rsidR="00555D0D">
        <w:rPr>
          <w:lang w:val="en-GB"/>
        </w:rPr>
        <w:t xml:space="preserve">. </w:t>
      </w:r>
      <w:r w:rsidRPr="00AA64AE">
        <w:rPr>
          <w:lang w:val="en-GB"/>
        </w:rPr>
        <w:t>Therefore, under those circumstances, Defendant Y was justi</w:t>
      </w:r>
      <w:r w:rsidR="00EC205E">
        <w:rPr>
          <w:lang w:val="en-GB"/>
        </w:rPr>
        <w:t xml:space="preserve">fied in not hiring </w:t>
      </w:r>
      <w:r w:rsidR="002D0997">
        <w:rPr>
          <w:lang w:val="en-GB"/>
        </w:rPr>
        <w:t>Plaintiff</w:t>
      </w:r>
      <w:r w:rsidR="00EC205E">
        <w:rPr>
          <w:lang w:val="en-GB"/>
        </w:rPr>
        <w:t xml:space="preserve"> </w:t>
      </w:r>
      <w:r w:rsidR="006352F7">
        <w:rPr>
          <w:lang w:val="en-GB"/>
        </w:rPr>
        <w:t xml:space="preserve">II </w:t>
      </w:r>
      <w:r w:rsidR="00EC205E">
        <w:rPr>
          <w:lang w:val="en-GB"/>
        </w:rPr>
        <w:t xml:space="preserve">and </w:t>
      </w:r>
      <w:r w:rsidR="00943241">
        <w:rPr>
          <w:lang w:val="en-GB"/>
        </w:rPr>
        <w:t>employing those</w:t>
      </w:r>
      <w:r w:rsidR="00EC205E">
        <w:rPr>
          <w:lang w:val="en-GB"/>
        </w:rPr>
        <w:t xml:space="preserve"> who guaranteed the highest standard of performance instead. Moreover, it should be underlined in that context that the waiters’ duties in the Y’s restaurant were incomparable with the waiters’ duties in the X’s dining room.</w:t>
      </w:r>
    </w:p>
    <w:p w14:paraId="7C9F0BA3" w14:textId="350A06E2" w:rsidR="00133AE7" w:rsidRDefault="008B10F3" w:rsidP="00AD12DB">
      <w:pPr>
        <w:spacing w:line="360" w:lineRule="auto"/>
        <w:ind w:left="720"/>
        <w:jc w:val="both"/>
        <w:rPr>
          <w:lang w:val="en-GB"/>
        </w:rPr>
      </w:pPr>
      <w:r>
        <w:rPr>
          <w:lang w:val="en-GB"/>
        </w:rPr>
        <w:t xml:space="preserve">Furthermore, </w:t>
      </w:r>
      <w:r w:rsidR="00D62838">
        <w:rPr>
          <w:lang w:val="en-GB"/>
        </w:rPr>
        <w:t>employers are not necessarily obliged to conduct the physical fitness examinations</w:t>
      </w:r>
      <w:r w:rsidR="000B3229">
        <w:rPr>
          <w:lang w:val="en-GB"/>
        </w:rPr>
        <w:t xml:space="preserve"> or in some other way test the ab</w:t>
      </w:r>
      <w:r w:rsidR="00E002AB">
        <w:rPr>
          <w:lang w:val="en-GB"/>
        </w:rPr>
        <w:t>ility of older employees to perform specific work</w:t>
      </w:r>
      <w:r w:rsidR="00D62838">
        <w:rPr>
          <w:lang w:val="en-GB"/>
        </w:rPr>
        <w:t xml:space="preserve">. It has been accepted that </w:t>
      </w:r>
      <w:r w:rsidR="00506D35">
        <w:rPr>
          <w:lang w:val="en-GB"/>
        </w:rPr>
        <w:t>in some circumstances the assessment of individual employees may be “</w:t>
      </w:r>
      <w:r w:rsidR="009919E0" w:rsidRPr="0094675A">
        <w:rPr>
          <w:b/>
          <w:i/>
          <w:lang w:val="en-GB"/>
        </w:rPr>
        <w:t>impracticable</w:t>
      </w:r>
      <w:r w:rsidR="009919E0">
        <w:rPr>
          <w:lang w:val="en-GB"/>
        </w:rPr>
        <w:t>”, “</w:t>
      </w:r>
      <w:r w:rsidR="00506D35" w:rsidRPr="0094675A">
        <w:rPr>
          <w:b/>
          <w:i/>
          <w:lang w:val="en-GB"/>
        </w:rPr>
        <w:t>impossible or excessively onerous</w:t>
      </w:r>
      <w:r w:rsidR="00506D35">
        <w:rPr>
          <w:lang w:val="en-GB"/>
        </w:rPr>
        <w:t>” and the age may be linked to a genuine occupational requirement or a characteristic which is relevant to the position</w:t>
      </w:r>
      <w:r w:rsidR="00294308">
        <w:rPr>
          <w:rStyle w:val="Voetnootmarkering"/>
          <w:lang w:val="en-GB"/>
        </w:rPr>
        <w:footnoteReference w:id="40"/>
      </w:r>
      <w:r w:rsidR="00506D35">
        <w:rPr>
          <w:lang w:val="en-GB"/>
        </w:rPr>
        <w:t xml:space="preserve">. It is important to note </w:t>
      </w:r>
      <w:r w:rsidR="00B53E0E">
        <w:rPr>
          <w:lang w:val="en-GB"/>
        </w:rPr>
        <w:t xml:space="preserve">that if Defendant Y had employed </w:t>
      </w:r>
      <w:r w:rsidR="006352F7">
        <w:rPr>
          <w:lang w:val="en-GB"/>
        </w:rPr>
        <w:t>Plaintiff II</w:t>
      </w:r>
      <w:r w:rsidR="00B53E0E">
        <w:rPr>
          <w:lang w:val="en-GB"/>
        </w:rPr>
        <w:t>, most probably, considering the above requirements</w:t>
      </w:r>
      <w:r w:rsidR="00294308">
        <w:rPr>
          <w:lang w:val="en-GB"/>
        </w:rPr>
        <w:t xml:space="preserve"> and expectations</w:t>
      </w:r>
      <w:r w:rsidR="00B53E0E">
        <w:rPr>
          <w:lang w:val="en-GB"/>
        </w:rPr>
        <w:t xml:space="preserve">, </w:t>
      </w:r>
      <w:r w:rsidR="006352F7">
        <w:rPr>
          <w:lang w:val="en-GB"/>
        </w:rPr>
        <w:t>Plaintiff II</w:t>
      </w:r>
      <w:r w:rsidR="00B53E0E">
        <w:rPr>
          <w:lang w:val="en-GB"/>
        </w:rPr>
        <w:t xml:space="preserve"> would have been dismissed in the near future due to being “</w:t>
      </w:r>
      <w:r w:rsidR="00B53E0E" w:rsidRPr="00B53E0E">
        <w:rPr>
          <w:i/>
          <w:lang w:val="en-GB"/>
        </w:rPr>
        <w:t>no longer capable of working</w:t>
      </w:r>
      <w:r w:rsidR="00B53E0E">
        <w:rPr>
          <w:lang w:val="en-GB"/>
        </w:rPr>
        <w:t>”. The CJEU ruled that such termination may be “</w:t>
      </w:r>
      <w:r w:rsidR="00B53E0E" w:rsidRPr="00D85C75">
        <w:rPr>
          <w:b/>
          <w:i/>
          <w:lang w:val="en-GB"/>
        </w:rPr>
        <w:t>humiliating for those who have reached an advanced age</w:t>
      </w:r>
      <w:r w:rsidR="00B53E0E">
        <w:rPr>
          <w:lang w:val="en-GB"/>
        </w:rPr>
        <w:t>”</w:t>
      </w:r>
      <w:r w:rsidR="00B53E0E">
        <w:rPr>
          <w:rStyle w:val="Voetnootmarkering"/>
          <w:lang w:val="en-GB"/>
        </w:rPr>
        <w:footnoteReference w:id="41"/>
      </w:r>
      <w:r w:rsidR="00B53E0E">
        <w:rPr>
          <w:lang w:val="en-GB"/>
        </w:rPr>
        <w:t xml:space="preserve">. </w:t>
      </w:r>
      <w:r w:rsidR="00C95ADD">
        <w:rPr>
          <w:lang w:val="en-GB"/>
        </w:rPr>
        <w:t>Considering the above, it would be impractical for Defendant Y to conduct physical fitness examinations as part of recruitment process</w:t>
      </w:r>
      <w:r w:rsidR="00F6632A">
        <w:rPr>
          <w:lang w:val="en-GB"/>
        </w:rPr>
        <w:t xml:space="preserve"> for each waiter vacancy and </w:t>
      </w:r>
      <w:r w:rsidR="004E7CF5">
        <w:rPr>
          <w:lang w:val="en-GB"/>
        </w:rPr>
        <w:t xml:space="preserve">it </w:t>
      </w:r>
      <w:r w:rsidR="00F6632A">
        <w:rPr>
          <w:lang w:val="en-GB"/>
        </w:rPr>
        <w:t xml:space="preserve">could be humiliating for older candidates who undergo </w:t>
      </w:r>
      <w:r w:rsidR="00B14EC4">
        <w:rPr>
          <w:lang w:val="en-GB"/>
        </w:rPr>
        <w:t xml:space="preserve">such </w:t>
      </w:r>
      <w:r w:rsidR="00AE6956">
        <w:rPr>
          <w:lang w:val="en-GB"/>
        </w:rPr>
        <w:t xml:space="preserve">examination, as a result of which </w:t>
      </w:r>
      <w:r w:rsidR="00CB250C">
        <w:rPr>
          <w:lang w:val="en-GB"/>
        </w:rPr>
        <w:t xml:space="preserve">they </w:t>
      </w:r>
      <w:r w:rsidR="005B06F3">
        <w:rPr>
          <w:lang w:val="en-GB"/>
        </w:rPr>
        <w:t xml:space="preserve">get </w:t>
      </w:r>
      <w:r w:rsidR="00F6632A">
        <w:rPr>
          <w:lang w:val="en-GB"/>
        </w:rPr>
        <w:t>rejected.</w:t>
      </w:r>
      <w:r w:rsidR="00011E2C">
        <w:rPr>
          <w:lang w:val="en-GB"/>
        </w:rPr>
        <w:t xml:space="preserve"> Therefore, Defendant Y was justifi</w:t>
      </w:r>
      <w:r w:rsidR="00214D76">
        <w:rPr>
          <w:lang w:val="en-GB"/>
        </w:rPr>
        <w:t xml:space="preserve">ed in not </w:t>
      </w:r>
      <w:r w:rsidR="003D63FD">
        <w:rPr>
          <w:lang w:val="en-GB"/>
        </w:rPr>
        <w:t>conducting any examinations which could only lead to potential humiliation of elderly</w:t>
      </w:r>
      <w:r w:rsidR="00D732A3">
        <w:rPr>
          <w:lang w:val="en-GB"/>
        </w:rPr>
        <w:t xml:space="preserve"> people</w:t>
      </w:r>
      <w:r w:rsidR="003D63FD">
        <w:rPr>
          <w:lang w:val="en-GB"/>
        </w:rPr>
        <w:t>.</w:t>
      </w:r>
    </w:p>
    <w:p w14:paraId="6C566572" w14:textId="77777777" w:rsidR="00B66D9A" w:rsidRDefault="00B66D9A" w:rsidP="00AA64AE">
      <w:pPr>
        <w:spacing w:line="360" w:lineRule="auto"/>
        <w:ind w:left="720"/>
        <w:jc w:val="both"/>
        <w:rPr>
          <w:lang w:val="en-GB"/>
        </w:rPr>
      </w:pPr>
    </w:p>
    <w:p w14:paraId="0FD97F72" w14:textId="4421DB85" w:rsidR="00EC1002" w:rsidRDefault="00B66D9A" w:rsidP="004D37BD">
      <w:pPr>
        <w:pStyle w:val="Kop4"/>
      </w:pPr>
      <w:r>
        <w:t>The ab</w:t>
      </w:r>
      <w:r w:rsidR="00EC1002">
        <w:t xml:space="preserve">ILITY TO lEARN FOREIGN </w:t>
      </w:r>
      <w:r w:rsidR="00290E11">
        <w:t>LANGUAGES AS</w:t>
      </w:r>
      <w:r w:rsidR="00290E11" w:rsidRPr="00AA64AE">
        <w:t xml:space="preserve"> a </w:t>
      </w:r>
      <w:r w:rsidR="00290E11">
        <w:t>genuine occupational requirement</w:t>
      </w:r>
    </w:p>
    <w:p w14:paraId="26BF756C" w14:textId="77777777" w:rsidR="00EC1002" w:rsidRDefault="00EC1002" w:rsidP="00EC1002">
      <w:pPr>
        <w:pStyle w:val="Kop4"/>
        <w:numPr>
          <w:ilvl w:val="0"/>
          <w:numId w:val="0"/>
        </w:numPr>
        <w:ind w:left="720" w:hanging="360"/>
      </w:pPr>
    </w:p>
    <w:p w14:paraId="501A8777" w14:textId="7270539D" w:rsidR="007D259D" w:rsidRDefault="00301304" w:rsidP="00732550">
      <w:pPr>
        <w:spacing w:line="360" w:lineRule="auto"/>
        <w:ind w:left="720"/>
        <w:jc w:val="both"/>
        <w:rPr>
          <w:lang w:val="en-GB"/>
        </w:rPr>
      </w:pPr>
      <w:r>
        <w:rPr>
          <w:lang w:val="en-GB"/>
        </w:rPr>
        <w:lastRenderedPageBreak/>
        <w:t>Since Defendant Y operates an Italian restaurant and bar, waiters are</w:t>
      </w:r>
      <w:r w:rsidR="00CB5946">
        <w:rPr>
          <w:lang w:val="en-GB"/>
        </w:rPr>
        <w:t xml:space="preserve"> obviously</w:t>
      </w:r>
      <w:r>
        <w:rPr>
          <w:lang w:val="en-GB"/>
        </w:rPr>
        <w:t xml:space="preserve"> required to know at least basic Italian in order to </w:t>
      </w:r>
      <w:r w:rsidR="00297097">
        <w:rPr>
          <w:lang w:val="en-GB"/>
        </w:rPr>
        <w:t>be able to understand</w:t>
      </w:r>
      <w:r w:rsidR="007A3E25">
        <w:rPr>
          <w:lang w:val="en-GB"/>
        </w:rPr>
        <w:t xml:space="preserve"> the menu (</w:t>
      </w:r>
      <w:r w:rsidR="00297097">
        <w:rPr>
          <w:lang w:val="en-GB"/>
        </w:rPr>
        <w:t>the nam</w:t>
      </w:r>
      <w:r w:rsidR="00CB5946">
        <w:rPr>
          <w:lang w:val="en-GB"/>
        </w:rPr>
        <w:t>es of the dishes and ingredients</w:t>
      </w:r>
      <w:r w:rsidR="007A3E25">
        <w:rPr>
          <w:lang w:val="en-GB"/>
        </w:rPr>
        <w:t>)</w:t>
      </w:r>
      <w:r w:rsidR="00297097">
        <w:rPr>
          <w:lang w:val="en-GB"/>
        </w:rPr>
        <w:t>, as well as to pronounce those words properly. The restaurant has a native Italian chef. Therefore, if waiters knew Italian, it would be easier to communicate with him. Finally, Budapest is indisputably the most important tourist hub in Hungary in terms of internatio</w:t>
      </w:r>
      <w:r w:rsidR="00CB5946">
        <w:rPr>
          <w:lang w:val="en-GB"/>
        </w:rPr>
        <w:t>nal visitors coming to the city</w:t>
      </w:r>
      <w:r w:rsidR="00297097">
        <w:rPr>
          <w:lang w:val="en-GB"/>
        </w:rPr>
        <w:t xml:space="preserve"> (over 8 mln international guest nights in 2016</w:t>
      </w:r>
      <w:r w:rsidR="004B39D9">
        <w:rPr>
          <w:lang w:val="en-GB"/>
        </w:rPr>
        <w:t>,</w:t>
      </w:r>
      <w:r w:rsidR="004162C9">
        <w:rPr>
          <w:lang w:val="en-GB"/>
        </w:rPr>
        <w:t xml:space="preserve"> which is</w:t>
      </w:r>
      <w:r w:rsidR="004B39D9">
        <w:rPr>
          <w:lang w:val="en-GB"/>
        </w:rPr>
        <w:t xml:space="preserve"> referred to as the “</w:t>
      </w:r>
      <w:r w:rsidR="004B39D9" w:rsidRPr="004B39D9">
        <w:rPr>
          <w:i/>
          <w:lang w:val="en-GB"/>
        </w:rPr>
        <w:t>solid popularity</w:t>
      </w:r>
      <w:r w:rsidR="004162C9">
        <w:rPr>
          <w:i/>
          <w:lang w:val="en-GB"/>
        </w:rPr>
        <w:t xml:space="preserve"> of Budapest</w:t>
      </w:r>
      <w:r w:rsidR="004B39D9">
        <w:rPr>
          <w:lang w:val="en-GB"/>
        </w:rPr>
        <w:t>”)</w:t>
      </w:r>
      <w:r w:rsidR="004B39D9">
        <w:rPr>
          <w:rStyle w:val="Voetnootmarkering"/>
          <w:lang w:val="en-GB"/>
        </w:rPr>
        <w:footnoteReference w:id="42"/>
      </w:r>
      <w:r w:rsidR="004B39D9">
        <w:rPr>
          <w:lang w:val="en-GB"/>
        </w:rPr>
        <w:t>.</w:t>
      </w:r>
      <w:r w:rsidR="0058499A">
        <w:rPr>
          <w:lang w:val="en-GB"/>
        </w:rPr>
        <w:t xml:space="preserve"> Italian tourists</w:t>
      </w:r>
      <w:r w:rsidR="00EF1C30">
        <w:rPr>
          <w:lang w:val="en-GB"/>
        </w:rPr>
        <w:t xml:space="preserve"> constitute a major force among those visitors – they are the fifth most common nation visiting Hungary (over 230,000 arrivals and </w:t>
      </w:r>
      <w:r w:rsidR="00872CC7">
        <w:rPr>
          <w:lang w:val="en-GB"/>
        </w:rPr>
        <w:t>hotel guest nights</w:t>
      </w:r>
      <w:r w:rsidR="00EF1C30">
        <w:rPr>
          <w:lang w:val="en-GB"/>
        </w:rPr>
        <w:t>)</w:t>
      </w:r>
      <w:r w:rsidR="00EF1C30">
        <w:rPr>
          <w:rStyle w:val="Voetnootmarkering"/>
          <w:lang w:val="en-GB"/>
        </w:rPr>
        <w:footnoteReference w:id="43"/>
      </w:r>
      <w:r w:rsidR="00EF1C30">
        <w:rPr>
          <w:lang w:val="en-GB"/>
        </w:rPr>
        <w:t xml:space="preserve">. </w:t>
      </w:r>
      <w:r w:rsidR="003A2BC9">
        <w:rPr>
          <w:lang w:val="en-GB"/>
        </w:rPr>
        <w:t xml:space="preserve">Defendant Y expects that many Italians would be happy to visit his restaurant when being in Budapest. In general, the high profile </w:t>
      </w:r>
      <w:r w:rsidR="0091209D">
        <w:rPr>
          <w:lang w:val="en-GB"/>
        </w:rPr>
        <w:t xml:space="preserve">of his </w:t>
      </w:r>
      <w:r w:rsidR="003A2BC9">
        <w:rPr>
          <w:lang w:val="en-GB"/>
        </w:rPr>
        <w:t xml:space="preserve">restaurant is intended to attract tourists who are known to spend more money than local customers. </w:t>
      </w:r>
      <w:r w:rsidR="00732550">
        <w:rPr>
          <w:lang w:val="en-GB"/>
        </w:rPr>
        <w:t>Besides, w</w:t>
      </w:r>
      <w:r w:rsidR="007D259D">
        <w:rPr>
          <w:lang w:val="en-GB"/>
        </w:rPr>
        <w:t xml:space="preserve">aiters </w:t>
      </w:r>
      <w:r w:rsidR="0035077B">
        <w:rPr>
          <w:lang w:val="en-GB"/>
        </w:rPr>
        <w:t>must</w:t>
      </w:r>
      <w:r w:rsidR="0065001E">
        <w:rPr>
          <w:lang w:val="en-GB"/>
        </w:rPr>
        <w:t xml:space="preserve"> be able to communicate with</w:t>
      </w:r>
      <w:r w:rsidR="007D259D">
        <w:rPr>
          <w:lang w:val="en-GB"/>
        </w:rPr>
        <w:t xml:space="preserve"> customers</w:t>
      </w:r>
      <w:r w:rsidR="00A40DF4">
        <w:rPr>
          <w:lang w:val="en-GB"/>
        </w:rPr>
        <w:t>, obviously</w:t>
      </w:r>
      <w:r w:rsidR="007D259D">
        <w:rPr>
          <w:lang w:val="en-GB"/>
        </w:rPr>
        <w:t>.</w:t>
      </w:r>
      <w:r w:rsidR="00A40DF4">
        <w:rPr>
          <w:lang w:val="en-GB"/>
        </w:rPr>
        <w:t xml:space="preserve"> They represent the restaurant – they </w:t>
      </w:r>
      <w:r w:rsidR="0035077B">
        <w:rPr>
          <w:lang w:val="en-GB"/>
        </w:rPr>
        <w:t>are</w:t>
      </w:r>
      <w:r w:rsidR="007D259D">
        <w:rPr>
          <w:lang w:val="en-GB"/>
        </w:rPr>
        <w:t xml:space="preserve"> </w:t>
      </w:r>
      <w:r w:rsidR="0035077B">
        <w:rPr>
          <w:lang w:val="en-GB"/>
        </w:rPr>
        <w:t xml:space="preserve">responsible for welcoming guests and making them feel comfortable. They </w:t>
      </w:r>
      <w:r w:rsidR="00A40DF4">
        <w:rPr>
          <w:lang w:val="en-GB"/>
        </w:rPr>
        <w:t>must</w:t>
      </w:r>
      <w:r w:rsidR="0035077B">
        <w:rPr>
          <w:lang w:val="en-GB"/>
        </w:rPr>
        <w:t xml:space="preserve"> </w:t>
      </w:r>
      <w:r w:rsidR="000336F8">
        <w:rPr>
          <w:lang w:val="en-GB"/>
        </w:rPr>
        <w:t>be able to u</w:t>
      </w:r>
      <w:r w:rsidR="001064E5">
        <w:rPr>
          <w:lang w:val="en-GB"/>
        </w:rPr>
        <w:t>nderstand the people they serve</w:t>
      </w:r>
      <w:r w:rsidR="000336F8">
        <w:rPr>
          <w:lang w:val="en-GB"/>
        </w:rPr>
        <w:t xml:space="preserve"> in order t</w:t>
      </w:r>
      <w:r w:rsidR="001064E5">
        <w:rPr>
          <w:lang w:val="en-GB"/>
        </w:rPr>
        <w:t>o cater for all</w:t>
      </w:r>
      <w:r w:rsidR="007C5299">
        <w:rPr>
          <w:lang w:val="en-GB"/>
        </w:rPr>
        <w:t xml:space="preserve"> the</w:t>
      </w:r>
      <w:r w:rsidR="00297E83">
        <w:rPr>
          <w:lang w:val="en-GB"/>
        </w:rPr>
        <w:t>ir</w:t>
      </w:r>
      <w:r w:rsidR="001064E5">
        <w:rPr>
          <w:lang w:val="en-GB"/>
        </w:rPr>
        <w:t xml:space="preserve"> needs and wishes</w:t>
      </w:r>
      <w:r w:rsidR="000336F8">
        <w:rPr>
          <w:lang w:val="en-GB"/>
        </w:rPr>
        <w:t>. Defendant Y runs an exclusive restaurant and knowing foreign languages (or at least being able to le</w:t>
      </w:r>
      <w:r w:rsidR="007206AC">
        <w:rPr>
          <w:lang w:val="en-GB"/>
        </w:rPr>
        <w:t xml:space="preserve">arn them quickly) is </w:t>
      </w:r>
      <w:r w:rsidR="000336F8">
        <w:rPr>
          <w:lang w:val="en-GB"/>
        </w:rPr>
        <w:t>necessary</w:t>
      </w:r>
      <w:r w:rsidR="00251852">
        <w:rPr>
          <w:lang w:val="en-GB"/>
        </w:rPr>
        <w:t xml:space="preserve"> when working in such an establishment – especially</w:t>
      </w:r>
      <w:r w:rsidR="000336F8">
        <w:rPr>
          <w:lang w:val="en-GB"/>
        </w:rPr>
        <w:t xml:space="preserve"> in a well-known </w:t>
      </w:r>
      <w:r w:rsidR="00251852">
        <w:rPr>
          <w:lang w:val="en-GB"/>
        </w:rPr>
        <w:t xml:space="preserve">tourist destination, such </w:t>
      </w:r>
      <w:r w:rsidR="006331C7">
        <w:rPr>
          <w:lang w:val="en-GB"/>
        </w:rPr>
        <w:t>as Budapest, where foreigners constitute a significant part of customers.</w:t>
      </w:r>
    </w:p>
    <w:p w14:paraId="41AD058A" w14:textId="3BEC8701" w:rsidR="008A6F26" w:rsidRDefault="000336F8" w:rsidP="000336F8">
      <w:pPr>
        <w:spacing w:line="360" w:lineRule="auto"/>
        <w:ind w:left="720"/>
        <w:jc w:val="both"/>
        <w:rPr>
          <w:lang w:val="en-GB"/>
        </w:rPr>
      </w:pPr>
      <w:r>
        <w:rPr>
          <w:lang w:val="en-GB"/>
        </w:rPr>
        <w:t>I</w:t>
      </w:r>
      <w:r w:rsidR="008A6F26">
        <w:rPr>
          <w:lang w:val="en-GB"/>
        </w:rPr>
        <w:t xml:space="preserve">t is hard to expect that </w:t>
      </w:r>
      <w:r w:rsidR="006352F7">
        <w:rPr>
          <w:lang w:val="en-GB"/>
        </w:rPr>
        <w:t>Plaintiff II</w:t>
      </w:r>
      <w:r w:rsidR="008A6F26">
        <w:rPr>
          <w:lang w:val="en-GB"/>
        </w:rPr>
        <w:t xml:space="preserve"> had opportunity</w:t>
      </w:r>
      <w:r>
        <w:rPr>
          <w:lang w:val="en-GB"/>
        </w:rPr>
        <w:t xml:space="preserve"> to serve any foreigners while</w:t>
      </w:r>
      <w:r w:rsidR="008A6F26">
        <w:rPr>
          <w:lang w:val="en-GB"/>
        </w:rPr>
        <w:t xml:space="preserve"> working at the X’</w:t>
      </w:r>
      <w:r>
        <w:rPr>
          <w:lang w:val="en-GB"/>
        </w:rPr>
        <w:t>s dining room – the facts of the case indicate that it was actually an in-house facility.</w:t>
      </w:r>
      <w:r w:rsidR="00BA0E9C">
        <w:rPr>
          <w:lang w:val="en-GB"/>
        </w:rPr>
        <w:t xml:space="preserve"> Furthermore, due to his age, his ability to learn foreign languages is seriously impaired.</w:t>
      </w:r>
      <w:r w:rsidR="00AE345D">
        <w:rPr>
          <w:lang w:val="en-GB"/>
        </w:rPr>
        <w:t xml:space="preserve"> According to the statistical data, younger people in general tend to report better foreign language skills. It is also impor</w:t>
      </w:r>
      <w:r w:rsidR="0068641F">
        <w:rPr>
          <w:lang w:val="en-GB"/>
        </w:rPr>
        <w:t xml:space="preserve">tant to point out that Hungary </w:t>
      </w:r>
      <w:r w:rsidR="00A40DF4">
        <w:rPr>
          <w:lang w:val="en-GB"/>
        </w:rPr>
        <w:t>is known to have</w:t>
      </w:r>
      <w:r w:rsidR="00AE345D">
        <w:rPr>
          <w:lang w:val="en-GB"/>
        </w:rPr>
        <w:t xml:space="preserve"> a “</w:t>
      </w:r>
      <w:r w:rsidR="00AE345D" w:rsidRPr="001064E5">
        <w:rPr>
          <w:i/>
          <w:lang w:val="en-GB"/>
        </w:rPr>
        <w:t>considerable generation gap in foreign language skills</w:t>
      </w:r>
      <w:r w:rsidR="00AE345D">
        <w:rPr>
          <w:lang w:val="en-GB"/>
        </w:rPr>
        <w:t>”</w:t>
      </w:r>
      <w:r w:rsidR="001064E5">
        <w:rPr>
          <w:rStyle w:val="Voetnootmarkering"/>
          <w:lang w:val="en-GB"/>
        </w:rPr>
        <w:footnoteReference w:id="44"/>
      </w:r>
      <w:r w:rsidR="00AE345D">
        <w:rPr>
          <w:lang w:val="en-GB"/>
        </w:rPr>
        <w:t>.</w:t>
      </w:r>
      <w:r w:rsidR="001064E5" w:rsidRPr="001064E5">
        <w:rPr>
          <w:lang w:val="en-GB"/>
        </w:rPr>
        <w:t xml:space="preserve"> </w:t>
      </w:r>
      <w:r w:rsidR="001064E5">
        <w:rPr>
          <w:lang w:val="en-GB"/>
        </w:rPr>
        <w:t>Therefore, Defendant Y was justified i</w:t>
      </w:r>
      <w:r w:rsidR="006C6A68">
        <w:rPr>
          <w:lang w:val="en-GB"/>
        </w:rPr>
        <w:t xml:space="preserve">n refusing to hire </w:t>
      </w:r>
      <w:r w:rsidR="006352F7">
        <w:rPr>
          <w:lang w:val="en-GB"/>
        </w:rPr>
        <w:t>Plaintiff II</w:t>
      </w:r>
      <w:r w:rsidR="00A40DF4">
        <w:rPr>
          <w:lang w:val="en-GB"/>
        </w:rPr>
        <w:t>, as this</w:t>
      </w:r>
      <w:r w:rsidR="006C6A68">
        <w:rPr>
          <w:lang w:val="en-GB"/>
        </w:rPr>
        <w:t xml:space="preserve"> occupational requirement is related to age.</w:t>
      </w:r>
    </w:p>
    <w:p w14:paraId="77EBB6FC" w14:textId="77777777" w:rsidR="009F25BF" w:rsidRDefault="009F25BF" w:rsidP="000336F8">
      <w:pPr>
        <w:spacing w:line="360" w:lineRule="auto"/>
        <w:ind w:left="720"/>
        <w:jc w:val="both"/>
        <w:rPr>
          <w:lang w:val="en-GB"/>
        </w:rPr>
      </w:pPr>
    </w:p>
    <w:p w14:paraId="546FC2A0" w14:textId="25664C58" w:rsidR="00B309AA" w:rsidRDefault="009F25BF" w:rsidP="009F25BF">
      <w:pPr>
        <w:pStyle w:val="Kop4"/>
      </w:pPr>
      <w:r>
        <w:t>Appearance AS</w:t>
      </w:r>
      <w:r w:rsidRPr="00AA64AE">
        <w:t xml:space="preserve"> a </w:t>
      </w:r>
      <w:r>
        <w:t>genuine occupational requirement</w:t>
      </w:r>
    </w:p>
    <w:p w14:paraId="28D7CB7F" w14:textId="77777777" w:rsidR="009F25BF" w:rsidRDefault="009F25BF" w:rsidP="004843E3">
      <w:pPr>
        <w:spacing w:line="360" w:lineRule="auto"/>
        <w:ind w:left="720"/>
        <w:jc w:val="both"/>
        <w:rPr>
          <w:lang w:val="en-GB"/>
        </w:rPr>
      </w:pPr>
    </w:p>
    <w:p w14:paraId="1D156A8F" w14:textId="274B7753" w:rsidR="00CB665C" w:rsidRPr="00B15CBA" w:rsidRDefault="00B2140C" w:rsidP="004843E3">
      <w:pPr>
        <w:spacing w:line="360" w:lineRule="auto"/>
        <w:ind w:left="720"/>
        <w:jc w:val="both"/>
        <w:rPr>
          <w:lang w:val="en-GB"/>
        </w:rPr>
      </w:pPr>
      <w:r>
        <w:rPr>
          <w:lang w:val="en-GB"/>
        </w:rPr>
        <w:t xml:space="preserve">Finally, it has also been accepted that employers may choose </w:t>
      </w:r>
      <w:r w:rsidR="00D73112">
        <w:rPr>
          <w:lang w:val="en-GB"/>
        </w:rPr>
        <w:t>workers</w:t>
      </w:r>
      <w:r>
        <w:rPr>
          <w:lang w:val="en-GB"/>
        </w:rPr>
        <w:t xml:space="preserve"> according to their </w:t>
      </w:r>
      <w:r w:rsidR="000400D2">
        <w:rPr>
          <w:lang w:val="en-GB"/>
        </w:rPr>
        <w:t xml:space="preserve">own </w:t>
      </w:r>
      <w:r>
        <w:rPr>
          <w:lang w:val="en-GB"/>
        </w:rPr>
        <w:t>subjective ideas on how they want to operate their business. Such exceptions were accepted for example in case of singing, acting, dancing, artistic or fashion modelling</w:t>
      </w:r>
      <w:r>
        <w:rPr>
          <w:rStyle w:val="Voetnootmarkering"/>
          <w:lang w:val="en-GB"/>
        </w:rPr>
        <w:footnoteReference w:id="45"/>
      </w:r>
      <w:r>
        <w:rPr>
          <w:lang w:val="en-GB"/>
        </w:rPr>
        <w:t>.</w:t>
      </w:r>
      <w:r w:rsidR="00B15CBA">
        <w:rPr>
          <w:lang w:val="en-GB"/>
        </w:rPr>
        <w:t xml:space="preserve"> Other examples include hiring an individual of Asian ethnicity in an Asian restaurant to maintain authenticity or hiring women in women-only fitness clubs</w:t>
      </w:r>
      <w:r w:rsidR="00B15CBA">
        <w:rPr>
          <w:rStyle w:val="Voetnootmarkering"/>
          <w:lang w:val="en-GB"/>
        </w:rPr>
        <w:footnoteReference w:id="46"/>
      </w:r>
      <w:r w:rsidR="00B15CBA">
        <w:rPr>
          <w:lang w:val="en-GB"/>
        </w:rPr>
        <w:t>.</w:t>
      </w:r>
      <w:r w:rsidR="00431E2C">
        <w:rPr>
          <w:lang w:val="en-GB"/>
        </w:rPr>
        <w:t xml:space="preserve"> Therefore, an employer m</w:t>
      </w:r>
      <w:r w:rsidR="0023207A">
        <w:rPr>
          <w:lang w:val="en-GB"/>
        </w:rPr>
        <w:t>ust always be allowed a margin of appreciation when selecting candidat</w:t>
      </w:r>
      <w:r w:rsidR="00E16C7A">
        <w:rPr>
          <w:lang w:val="en-GB"/>
        </w:rPr>
        <w:t xml:space="preserve">es for work who fit into the establishment. </w:t>
      </w:r>
      <w:r w:rsidR="004E661E">
        <w:rPr>
          <w:lang w:val="en-GB"/>
        </w:rPr>
        <w:t xml:space="preserve">Thus, </w:t>
      </w:r>
      <w:r w:rsidR="00E16C7A">
        <w:rPr>
          <w:lang w:val="en-GB"/>
        </w:rPr>
        <w:t xml:space="preserve">Defendant Y could have recruited </w:t>
      </w:r>
      <w:r w:rsidR="00233687">
        <w:rPr>
          <w:lang w:val="en-GB"/>
        </w:rPr>
        <w:t xml:space="preserve">Italians, </w:t>
      </w:r>
      <w:r w:rsidR="00A971CB">
        <w:rPr>
          <w:lang w:val="en-GB"/>
        </w:rPr>
        <w:t xml:space="preserve">people of Italian descent </w:t>
      </w:r>
      <w:r w:rsidR="001B3B54">
        <w:rPr>
          <w:lang w:val="en-GB"/>
        </w:rPr>
        <w:t xml:space="preserve">or </w:t>
      </w:r>
      <w:r w:rsidR="0014797E">
        <w:rPr>
          <w:lang w:val="en-GB"/>
        </w:rPr>
        <w:t xml:space="preserve">having Mediterranean appearance to give his restaurant an authentic Italian spirit. Besides, considering the exclusive status of his undertaking, he could choose younger, more attractive waiters. </w:t>
      </w:r>
      <w:r w:rsidR="006853F6">
        <w:rPr>
          <w:lang w:val="en-GB"/>
        </w:rPr>
        <w:t>Obviously, y</w:t>
      </w:r>
      <w:r w:rsidR="000C0A81">
        <w:rPr>
          <w:lang w:val="en-GB"/>
        </w:rPr>
        <w:t xml:space="preserve">oung </w:t>
      </w:r>
      <w:r w:rsidR="006853F6">
        <w:rPr>
          <w:lang w:val="en-GB"/>
        </w:rPr>
        <w:t xml:space="preserve">or </w:t>
      </w:r>
      <w:r w:rsidR="000C0A81">
        <w:rPr>
          <w:lang w:val="en-GB"/>
        </w:rPr>
        <w:t xml:space="preserve">middle-aged good-looking waiters could </w:t>
      </w:r>
      <w:r w:rsidR="006853F6">
        <w:rPr>
          <w:lang w:val="en-GB"/>
        </w:rPr>
        <w:t xml:space="preserve">attract more customers than old waiters who are about to retire. </w:t>
      </w:r>
      <w:r w:rsidR="00FE2A4F">
        <w:rPr>
          <w:lang w:val="en-GB"/>
        </w:rPr>
        <w:t>The scientific study shows that people “</w:t>
      </w:r>
      <w:r w:rsidR="00FE2A4F" w:rsidRPr="00FE2A4F">
        <w:rPr>
          <w:i/>
          <w:lang w:val="en-GB"/>
        </w:rPr>
        <w:t>pay closer attention to people they find attractive</w:t>
      </w:r>
      <w:r w:rsidR="00FE2A4F">
        <w:rPr>
          <w:lang w:val="en-GB"/>
        </w:rPr>
        <w:t>”</w:t>
      </w:r>
      <w:r w:rsidR="00E45593">
        <w:rPr>
          <w:lang w:val="en-GB"/>
        </w:rPr>
        <w:t xml:space="preserve"> and that humans in general “</w:t>
      </w:r>
      <w:r w:rsidR="00E45593" w:rsidRPr="00E45593">
        <w:rPr>
          <w:i/>
          <w:lang w:val="en-GB"/>
        </w:rPr>
        <w:t>prefer pretty people</w:t>
      </w:r>
      <w:r w:rsidR="00E45593">
        <w:rPr>
          <w:lang w:val="en-GB"/>
        </w:rPr>
        <w:t>”</w:t>
      </w:r>
      <w:r w:rsidR="00FE2A4F">
        <w:rPr>
          <w:rStyle w:val="Voetnootmarkering"/>
          <w:lang w:val="en-GB"/>
        </w:rPr>
        <w:footnoteReference w:id="47"/>
      </w:r>
      <w:r w:rsidR="00E45593">
        <w:rPr>
          <w:vertAlign w:val="superscript"/>
          <w:lang w:val="en-GB"/>
        </w:rPr>
        <w:t>,</w:t>
      </w:r>
      <w:r w:rsidR="00E45593">
        <w:rPr>
          <w:rStyle w:val="Voetnootmarkering"/>
          <w:lang w:val="en-GB"/>
        </w:rPr>
        <w:footnoteReference w:id="48"/>
      </w:r>
      <w:r w:rsidR="00E45593">
        <w:rPr>
          <w:lang w:val="en-GB"/>
        </w:rPr>
        <w:t>.</w:t>
      </w:r>
      <w:r w:rsidR="00235D6C">
        <w:rPr>
          <w:lang w:val="en-GB"/>
        </w:rPr>
        <w:t xml:space="preserve"> Good-looking people</w:t>
      </w:r>
      <w:r w:rsidR="005B15C5">
        <w:rPr>
          <w:lang w:val="en-GB"/>
        </w:rPr>
        <w:t xml:space="preserve"> were found to be perceived as “</w:t>
      </w:r>
      <w:r w:rsidR="005B15C5" w:rsidRPr="005B15C5">
        <w:rPr>
          <w:i/>
          <w:lang w:val="en-GB"/>
        </w:rPr>
        <w:t>more sociable</w:t>
      </w:r>
      <w:r w:rsidR="005B15C5">
        <w:rPr>
          <w:lang w:val="en-GB"/>
        </w:rPr>
        <w:t>”, “</w:t>
      </w:r>
      <w:r w:rsidR="005B15C5" w:rsidRPr="005B15C5">
        <w:rPr>
          <w:i/>
          <w:lang w:val="en-GB"/>
        </w:rPr>
        <w:t>intelligent and social skilled</w:t>
      </w:r>
      <w:r w:rsidR="005B15C5">
        <w:rPr>
          <w:lang w:val="en-GB"/>
        </w:rPr>
        <w:t>” and people are more likely to have interactions with handsome people</w:t>
      </w:r>
      <w:r w:rsidR="005B15C5">
        <w:rPr>
          <w:rStyle w:val="Voetnootmarkering"/>
          <w:lang w:val="en-GB"/>
        </w:rPr>
        <w:footnoteReference w:id="49"/>
      </w:r>
      <w:r w:rsidR="005B15C5">
        <w:rPr>
          <w:lang w:val="en-GB"/>
        </w:rPr>
        <w:t>. Therefore, D</w:t>
      </w:r>
      <w:r w:rsidR="0028653A">
        <w:rPr>
          <w:lang w:val="en-GB"/>
        </w:rPr>
        <w:t>efendant Y wa</w:t>
      </w:r>
      <w:r w:rsidR="005B15C5">
        <w:rPr>
          <w:lang w:val="en-GB"/>
        </w:rPr>
        <w:t>s justified in relying on this data, as his major interest is to operate a popular restaurant</w:t>
      </w:r>
      <w:r w:rsidR="00B772ED">
        <w:rPr>
          <w:lang w:val="en-GB"/>
        </w:rPr>
        <w:t>, while</w:t>
      </w:r>
      <w:r w:rsidR="001C4628">
        <w:rPr>
          <w:lang w:val="en-GB"/>
        </w:rPr>
        <w:t xml:space="preserve"> hiring younger and handsome wa</w:t>
      </w:r>
      <w:r w:rsidR="00B772ED">
        <w:rPr>
          <w:lang w:val="en-GB"/>
        </w:rPr>
        <w:t>iters</w:t>
      </w:r>
      <w:r w:rsidR="001C4628">
        <w:rPr>
          <w:lang w:val="en-GB"/>
        </w:rPr>
        <w:t xml:space="preserve"> significantly increase</w:t>
      </w:r>
      <w:r w:rsidR="00B772ED">
        <w:rPr>
          <w:lang w:val="en-GB"/>
        </w:rPr>
        <w:t>s</w:t>
      </w:r>
      <w:r w:rsidR="001C4628">
        <w:rPr>
          <w:lang w:val="en-GB"/>
        </w:rPr>
        <w:t xml:space="preserve"> his profits.</w:t>
      </w:r>
    </w:p>
    <w:p w14:paraId="79A69AFA" w14:textId="77777777" w:rsidR="009F25BF" w:rsidRPr="009F25BF" w:rsidRDefault="009F25BF" w:rsidP="004843E3">
      <w:pPr>
        <w:pStyle w:val="Kop4"/>
        <w:numPr>
          <w:ilvl w:val="0"/>
          <w:numId w:val="0"/>
        </w:numPr>
        <w:ind w:left="720" w:hanging="360"/>
      </w:pPr>
    </w:p>
    <w:p w14:paraId="2D8005E5" w14:textId="77777777" w:rsidR="00B309AA" w:rsidRDefault="00B309AA" w:rsidP="00B309AA">
      <w:pPr>
        <w:pStyle w:val="Kop4"/>
      </w:pPr>
      <w:r>
        <w:t>youth employment as a legitimate aim</w:t>
      </w:r>
    </w:p>
    <w:p w14:paraId="236EFB0F" w14:textId="77777777" w:rsidR="00B309AA" w:rsidRPr="00290E11" w:rsidRDefault="00B309AA" w:rsidP="00B309AA">
      <w:pPr>
        <w:pStyle w:val="Kop4"/>
        <w:numPr>
          <w:ilvl w:val="0"/>
          <w:numId w:val="0"/>
        </w:numPr>
        <w:ind w:left="720" w:hanging="360"/>
      </w:pPr>
    </w:p>
    <w:p w14:paraId="2BFE4E60" w14:textId="6AE7F093" w:rsidR="001052F5" w:rsidRDefault="00B309AA" w:rsidP="001052F5">
      <w:pPr>
        <w:spacing w:line="360" w:lineRule="auto"/>
        <w:ind w:left="720"/>
        <w:jc w:val="both"/>
        <w:rPr>
          <w:lang w:val="en-GB"/>
        </w:rPr>
      </w:pPr>
      <w:r>
        <w:rPr>
          <w:lang w:val="en-GB"/>
        </w:rPr>
        <w:t>Besides, a</w:t>
      </w:r>
      <w:r w:rsidR="00AB03BE">
        <w:rPr>
          <w:lang w:val="en-GB"/>
        </w:rPr>
        <w:t>ccording to the art.6 par.</w:t>
      </w:r>
      <w:r w:rsidRPr="00AA64AE">
        <w:rPr>
          <w:lang w:val="en-GB"/>
        </w:rPr>
        <w:t>1 of the 2000/78 Directive,</w:t>
      </w:r>
      <w:r w:rsidR="0061705B" w:rsidRPr="0061705B">
        <w:rPr>
          <w:lang w:val="en-GB"/>
        </w:rPr>
        <w:t xml:space="preserve"> </w:t>
      </w:r>
      <w:r w:rsidR="0061705B">
        <w:rPr>
          <w:lang w:val="en-GB"/>
        </w:rPr>
        <w:t>a direct difference of treatment on grounds of age</w:t>
      </w:r>
      <w:r w:rsidRPr="00AA64AE">
        <w:rPr>
          <w:lang w:val="en-GB"/>
        </w:rPr>
        <w:t xml:space="preserve"> does </w:t>
      </w:r>
      <w:r w:rsidRPr="00AA64AE">
        <w:rPr>
          <w:lang w:val="en-GB" w:eastAsia="en-US"/>
        </w:rPr>
        <w:t>not constitute discrimination</w:t>
      </w:r>
      <w:r w:rsidRPr="00AA64AE">
        <w:rPr>
          <w:lang w:val="en-GB"/>
        </w:rPr>
        <w:t xml:space="preserve"> if such difference is</w:t>
      </w:r>
      <w:r w:rsidRPr="00AA64AE">
        <w:rPr>
          <w:lang w:val="en-GB" w:eastAsia="en-US"/>
        </w:rPr>
        <w:t> objectively and reasonably justified by a legitimate aim</w:t>
      </w:r>
      <w:r w:rsidRPr="00AA64AE">
        <w:rPr>
          <w:lang w:val="en-GB"/>
        </w:rPr>
        <w:t xml:space="preserve">. </w:t>
      </w:r>
      <w:r>
        <w:rPr>
          <w:lang w:val="en-GB"/>
        </w:rPr>
        <w:t>“</w:t>
      </w:r>
      <w:r>
        <w:rPr>
          <w:i/>
          <w:lang w:val="en-GB"/>
        </w:rPr>
        <w:t>F</w:t>
      </w:r>
      <w:r w:rsidRPr="00E348AF">
        <w:rPr>
          <w:i/>
          <w:lang w:val="en-GB"/>
        </w:rPr>
        <w:t>ixing of a maximum age for recruitment</w:t>
      </w:r>
      <w:r>
        <w:rPr>
          <w:lang w:val="en-GB"/>
        </w:rPr>
        <w:t>” is specifically included as an example of justifiable discrimination, even though it may appear as a “</w:t>
      </w:r>
      <w:r w:rsidRPr="00E348AF">
        <w:rPr>
          <w:i/>
          <w:lang w:val="en-GB"/>
        </w:rPr>
        <w:t xml:space="preserve">classic example of why age discrimination legislation </w:t>
      </w:r>
      <w:r w:rsidRPr="00E348AF">
        <w:rPr>
          <w:i/>
          <w:lang w:val="en-GB"/>
        </w:rPr>
        <w:lastRenderedPageBreak/>
        <w:t>is necessary</w:t>
      </w:r>
      <w:r>
        <w:rPr>
          <w:lang w:val="en-GB"/>
        </w:rPr>
        <w:t>”</w:t>
      </w:r>
      <w:r>
        <w:rPr>
          <w:rStyle w:val="Voetnootmarkering"/>
          <w:lang w:val="en-GB"/>
        </w:rPr>
        <w:footnoteReference w:id="50"/>
      </w:r>
      <w:r>
        <w:rPr>
          <w:lang w:val="en-GB"/>
        </w:rPr>
        <w:t>. It has been accepted that this article “</w:t>
      </w:r>
      <w:r w:rsidRPr="00A52EE2">
        <w:rPr>
          <w:i/>
          <w:lang w:val="en-GB"/>
        </w:rPr>
        <w:t>explicitly sacrifices the principle of non-discrimination to commercial and other interests</w:t>
      </w:r>
      <w:r>
        <w:rPr>
          <w:lang w:val="en-GB"/>
        </w:rPr>
        <w:t>”</w:t>
      </w:r>
      <w:r>
        <w:rPr>
          <w:rStyle w:val="Voetnootmarkering"/>
          <w:lang w:val="en-GB"/>
        </w:rPr>
        <w:footnoteReference w:id="51"/>
      </w:r>
      <w:r>
        <w:rPr>
          <w:lang w:val="en-GB"/>
        </w:rPr>
        <w:t>. It is important to know that youth employment is an important policy pursued by the European Commission. This is a part of the European employment strategy under which tackling youth unemployment, their in</w:t>
      </w:r>
      <w:r w:rsidR="00872CC7">
        <w:rPr>
          <w:lang w:val="en-GB"/>
        </w:rPr>
        <w:t>tegration into the labour market</w:t>
      </w:r>
      <w:r>
        <w:rPr>
          <w:lang w:val="en-GB"/>
        </w:rPr>
        <w:t xml:space="preserve"> and better opportunities to access employment constitute major objectives, as explained in a recent communication issued by the Commission</w:t>
      </w:r>
      <w:r>
        <w:rPr>
          <w:rStyle w:val="Voetnootmarkering"/>
          <w:lang w:val="en-GB"/>
        </w:rPr>
        <w:footnoteReference w:id="52"/>
      </w:r>
      <w:r>
        <w:rPr>
          <w:lang w:val="en-GB"/>
        </w:rPr>
        <w:t xml:space="preserve">. Therefore, Defendant Y was also fully entitled to be open </w:t>
      </w:r>
      <w:r w:rsidR="001D6616">
        <w:rPr>
          <w:lang w:val="en-GB"/>
        </w:rPr>
        <w:t>primarily</w:t>
      </w:r>
      <w:r>
        <w:rPr>
          <w:lang w:val="en-GB"/>
        </w:rPr>
        <w:t xml:space="preserve"> for younger staff to promote their participation in the labour market.</w:t>
      </w:r>
    </w:p>
    <w:p w14:paraId="111B3FDD" w14:textId="16C6E8BD" w:rsidR="00130F20" w:rsidRPr="00AA64AE" w:rsidRDefault="00130F20" w:rsidP="00EC1002">
      <w:pPr>
        <w:spacing w:line="360" w:lineRule="auto"/>
        <w:ind w:left="720"/>
        <w:jc w:val="both"/>
        <w:rPr>
          <w:lang w:val="en-GB"/>
        </w:rPr>
      </w:pPr>
      <w:r w:rsidRPr="00AA64AE">
        <w:rPr>
          <w:lang w:val="en-GB"/>
        </w:rPr>
        <w:br w:type="page"/>
      </w:r>
    </w:p>
    <w:p w14:paraId="3E20B028" w14:textId="77777777" w:rsidR="00130F20" w:rsidRPr="00AA64AE" w:rsidRDefault="00130F20" w:rsidP="00FA6861">
      <w:pPr>
        <w:pStyle w:val="Kop2"/>
        <w:rPr>
          <w:lang w:val="en-GB"/>
        </w:rPr>
      </w:pPr>
      <w:bookmarkStart w:id="38" w:name="_Toc480403689"/>
      <w:bookmarkStart w:id="39" w:name="_Toc480403831"/>
      <w:bookmarkStart w:id="40" w:name="_Toc481400977"/>
      <w:r w:rsidRPr="00AA64AE">
        <w:rPr>
          <w:lang w:val="en-GB"/>
        </w:rPr>
        <w:lastRenderedPageBreak/>
        <w:t>PLEADINGS</w:t>
      </w:r>
      <w:bookmarkEnd w:id="38"/>
      <w:bookmarkEnd w:id="39"/>
      <w:bookmarkEnd w:id="40"/>
    </w:p>
    <w:p w14:paraId="55ADE3A6" w14:textId="77777777" w:rsidR="00130F20" w:rsidRPr="00AA64AE" w:rsidRDefault="00130F20" w:rsidP="00130F20">
      <w:pPr>
        <w:spacing w:line="360" w:lineRule="auto"/>
        <w:rPr>
          <w:lang w:val="en-GB"/>
        </w:rPr>
      </w:pPr>
    </w:p>
    <w:p w14:paraId="7BA1BDAC" w14:textId="7F95FE4F" w:rsidR="00BC0BB3" w:rsidRPr="00AA64AE" w:rsidRDefault="00BC0BB3" w:rsidP="00130F20">
      <w:pPr>
        <w:spacing w:line="360" w:lineRule="auto"/>
        <w:rPr>
          <w:lang w:val="en-GB"/>
        </w:rPr>
      </w:pPr>
      <w:r w:rsidRPr="00AA64AE">
        <w:rPr>
          <w:lang w:val="en-GB"/>
        </w:rPr>
        <w:t>The Defendant denies all of the Plaintiffs’ claims and demands that they be dismissed.</w:t>
      </w:r>
    </w:p>
    <w:p w14:paraId="3EAAD50E" w14:textId="77777777" w:rsidR="00130F20" w:rsidRPr="00AA64AE" w:rsidRDefault="00130F20" w:rsidP="00130F20">
      <w:pPr>
        <w:spacing w:line="360" w:lineRule="auto"/>
        <w:rPr>
          <w:lang w:val="en-GB"/>
        </w:rPr>
      </w:pPr>
    </w:p>
    <w:p w14:paraId="7D14DE96" w14:textId="77777777" w:rsidR="00130F20" w:rsidRPr="00AA64AE" w:rsidRDefault="00130F20" w:rsidP="00130F20">
      <w:pPr>
        <w:rPr>
          <w:lang w:val="en-GB"/>
        </w:rPr>
      </w:pPr>
    </w:p>
    <w:p w14:paraId="5FBAB886" w14:textId="77777777" w:rsidR="00451616" w:rsidRPr="00AA64AE" w:rsidRDefault="00451616" w:rsidP="00451616">
      <w:pPr>
        <w:spacing w:line="360" w:lineRule="auto"/>
        <w:ind w:left="360"/>
        <w:rPr>
          <w:lang w:val="en-GB"/>
        </w:rPr>
      </w:pPr>
    </w:p>
    <w:p w14:paraId="2AE12715" w14:textId="77777777" w:rsidR="00531117" w:rsidRPr="00AA64AE" w:rsidRDefault="00531117" w:rsidP="00451616">
      <w:pPr>
        <w:spacing w:line="360" w:lineRule="auto"/>
        <w:rPr>
          <w:lang w:val="en-GB"/>
        </w:rPr>
      </w:pPr>
    </w:p>
    <w:sectPr w:rsidR="00531117" w:rsidRPr="00AA64AE" w:rsidSect="00EF6DE1">
      <w:headerReference w:type="default" r:id="rId13"/>
      <w:footerReference w:type="even" r:id="rId14"/>
      <w:footerReference w:type="defaul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20D65" w14:textId="77777777" w:rsidR="00F65632" w:rsidRDefault="00F65632" w:rsidP="000E74D2">
      <w:r>
        <w:separator/>
      </w:r>
    </w:p>
  </w:endnote>
  <w:endnote w:type="continuationSeparator" w:id="0">
    <w:p w14:paraId="264D3275" w14:textId="77777777" w:rsidR="00F65632" w:rsidRDefault="00F65632" w:rsidP="000E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014">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 w:name="font303">
    <w:altName w:val="Times New Roman"/>
    <w:charset w:val="EE"/>
    <w:family w:val="auto"/>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C8B2" w14:textId="77777777" w:rsidR="009E340C" w:rsidRDefault="009E340C" w:rsidP="00813DB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C2E11C0" w14:textId="77777777" w:rsidR="009E340C" w:rsidRDefault="009E340C" w:rsidP="00EF6DE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E802" w14:textId="77777777" w:rsidR="009E340C" w:rsidRDefault="009E340C" w:rsidP="00813DB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A3D41">
      <w:rPr>
        <w:rStyle w:val="Paginanummer"/>
        <w:noProof/>
      </w:rPr>
      <w:t>2</w:t>
    </w:r>
    <w:r>
      <w:rPr>
        <w:rStyle w:val="Paginanummer"/>
      </w:rPr>
      <w:fldChar w:fldCharType="end"/>
    </w:r>
  </w:p>
  <w:p w14:paraId="7FDF281D" w14:textId="77777777" w:rsidR="009E340C" w:rsidRDefault="009E340C" w:rsidP="00EF6DE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C4DCF" w14:textId="77777777" w:rsidR="00F65632" w:rsidRDefault="00F65632" w:rsidP="000E74D2">
      <w:r>
        <w:separator/>
      </w:r>
    </w:p>
  </w:footnote>
  <w:footnote w:type="continuationSeparator" w:id="0">
    <w:p w14:paraId="419E2A9D" w14:textId="77777777" w:rsidR="00F65632" w:rsidRDefault="00F65632" w:rsidP="000E74D2">
      <w:r>
        <w:continuationSeparator/>
      </w:r>
    </w:p>
  </w:footnote>
  <w:footnote w:id="1">
    <w:p w14:paraId="5B51CA58" w14:textId="29683F19" w:rsidR="009E340C" w:rsidRPr="00761FF2" w:rsidRDefault="009E340C" w:rsidP="00761FF2">
      <w:pPr>
        <w:jc w:val="both"/>
        <w:rPr>
          <w:rFonts w:eastAsia="Helvetica"/>
          <w:color w:val="000000"/>
          <w:sz w:val="22"/>
          <w:szCs w:val="22"/>
          <w:u w:color="000000"/>
          <w:bdr w:val="nil"/>
          <w:lang w:val="de-DE"/>
        </w:rPr>
      </w:pPr>
      <w:r w:rsidRPr="00C15200">
        <w:rPr>
          <w:rStyle w:val="Voetnootmarkering"/>
          <w:sz w:val="22"/>
          <w:szCs w:val="22"/>
        </w:rPr>
        <w:footnoteRef/>
      </w:r>
      <w:r w:rsidRPr="00761FF2">
        <w:rPr>
          <w:sz w:val="22"/>
          <w:szCs w:val="22"/>
          <w:lang w:val="en-US"/>
        </w:rPr>
        <w:t xml:space="preserve"> </w:t>
      </w:r>
      <w:r>
        <w:rPr>
          <w:sz w:val="22"/>
          <w:szCs w:val="22"/>
          <w:lang w:val="en-US"/>
        </w:rPr>
        <w:t>Opinion of Advocate General Kokott</w:t>
      </w:r>
      <w:r>
        <w:rPr>
          <w:rFonts w:eastAsia="Helvetica"/>
          <w:color w:val="000000"/>
          <w:sz w:val="22"/>
          <w:szCs w:val="22"/>
          <w:u w:color="000000"/>
          <w:bdr w:val="nil"/>
          <w:lang w:val="de-DE"/>
        </w:rPr>
        <w:t>, delivered on 6.11.</w:t>
      </w:r>
      <w:r w:rsidRPr="00761FF2">
        <w:rPr>
          <w:rFonts w:eastAsia="Helvetica"/>
          <w:color w:val="000000"/>
          <w:sz w:val="22"/>
          <w:szCs w:val="22"/>
          <w:u w:color="000000"/>
          <w:bdr w:val="nil"/>
          <w:lang w:val="de-DE"/>
        </w:rPr>
        <w:t>2014</w:t>
      </w:r>
      <w:r>
        <w:rPr>
          <w:rFonts w:eastAsia="Helvetica"/>
          <w:color w:val="000000"/>
          <w:sz w:val="22"/>
          <w:szCs w:val="22"/>
          <w:u w:color="000000"/>
          <w:bdr w:val="nil"/>
          <w:lang w:val="de-DE"/>
        </w:rPr>
        <w:t xml:space="preserve">, </w:t>
      </w:r>
      <w:r w:rsidRPr="00C15200">
        <w:rPr>
          <w:rFonts w:eastAsia="Helvetica"/>
          <w:color w:val="000000"/>
          <w:sz w:val="22"/>
          <w:szCs w:val="22"/>
          <w:u w:color="000000"/>
          <w:bdr w:val="nil"/>
          <w:lang w:val="de-DE"/>
        </w:rPr>
        <w:t>C-564/13 P, Planet AE Anonimi Etairia Parokhis Simvouleftikon Ipires</w:t>
      </w:r>
      <w:r w:rsidR="00362531">
        <w:rPr>
          <w:rFonts w:eastAsia="Helvetica"/>
          <w:color w:val="000000"/>
          <w:sz w:val="22"/>
          <w:szCs w:val="22"/>
          <w:u w:color="000000"/>
          <w:bdr w:val="nil"/>
          <w:lang w:val="de-DE"/>
        </w:rPr>
        <w:t>ion v European Commission, par.</w:t>
      </w:r>
      <w:r w:rsidRPr="00C15200">
        <w:rPr>
          <w:rFonts w:eastAsia="Helvetica"/>
          <w:color w:val="000000"/>
          <w:sz w:val="22"/>
          <w:szCs w:val="22"/>
          <w:u w:color="000000"/>
          <w:bdr w:val="nil"/>
          <w:lang w:val="de-DE"/>
        </w:rPr>
        <w:t>39.</w:t>
      </w:r>
    </w:p>
  </w:footnote>
  <w:footnote w:id="2">
    <w:p w14:paraId="2BAA2EFC" w14:textId="5F101654" w:rsidR="009E340C" w:rsidRPr="00201FB4" w:rsidRDefault="009E340C" w:rsidP="007A5A4D">
      <w:pPr>
        <w:pStyle w:val="Voetnoottekst"/>
        <w:jc w:val="both"/>
        <w:rPr>
          <w:sz w:val="22"/>
          <w:szCs w:val="22"/>
          <w:lang w:val="fr-FR"/>
        </w:rPr>
      </w:pPr>
      <w:r w:rsidRPr="00C15200">
        <w:rPr>
          <w:rStyle w:val="Voetnootmarkering"/>
          <w:sz w:val="22"/>
          <w:szCs w:val="22"/>
        </w:rPr>
        <w:footnoteRef/>
      </w:r>
      <w:r w:rsidRPr="00201FB4">
        <w:rPr>
          <w:sz w:val="22"/>
          <w:szCs w:val="22"/>
          <w:lang w:val="fr-FR"/>
        </w:rPr>
        <w:t xml:space="preserve"> </w:t>
      </w:r>
      <w:r w:rsidRPr="00201FB4">
        <w:rPr>
          <w:rFonts w:eastAsia="Helvetica"/>
          <w:i/>
          <w:color w:val="000000"/>
          <w:sz w:val="22"/>
          <w:szCs w:val="22"/>
          <w:u w:color="000000"/>
          <w:bdr w:val="nil"/>
          <w:lang w:val="fr-FR"/>
        </w:rPr>
        <w:t>Ibidem</w:t>
      </w:r>
      <w:r w:rsidR="00362531">
        <w:rPr>
          <w:rFonts w:eastAsia="Helvetica"/>
          <w:color w:val="000000"/>
          <w:sz w:val="22"/>
          <w:szCs w:val="22"/>
          <w:u w:color="000000"/>
          <w:bdr w:val="nil"/>
          <w:lang w:val="de-DE"/>
        </w:rPr>
        <w:t>, par.</w:t>
      </w:r>
      <w:r w:rsidRPr="00C15200">
        <w:rPr>
          <w:rFonts w:eastAsia="Helvetica"/>
          <w:color w:val="000000"/>
          <w:sz w:val="22"/>
          <w:szCs w:val="22"/>
          <w:u w:color="000000"/>
          <w:bdr w:val="nil"/>
          <w:lang w:val="de-DE"/>
        </w:rPr>
        <w:t>40.</w:t>
      </w:r>
    </w:p>
  </w:footnote>
  <w:footnote w:id="3">
    <w:p w14:paraId="2740AFB6" w14:textId="2CCB11B3" w:rsidR="009E340C" w:rsidRPr="00C15200" w:rsidRDefault="009E340C" w:rsidP="00B939EB">
      <w:pPr>
        <w:jc w:val="both"/>
        <w:rPr>
          <w:rFonts w:eastAsia="Times New Roman"/>
          <w:sz w:val="22"/>
          <w:szCs w:val="22"/>
          <w:lang w:val="fr-FR"/>
        </w:rPr>
      </w:pPr>
      <w:r w:rsidRPr="00C15200">
        <w:rPr>
          <w:rStyle w:val="Voetnootmarkering"/>
          <w:sz w:val="22"/>
          <w:szCs w:val="22"/>
        </w:rPr>
        <w:footnoteRef/>
      </w:r>
      <w:r w:rsidRPr="00C15200">
        <w:rPr>
          <w:sz w:val="22"/>
          <w:szCs w:val="22"/>
          <w:lang w:val="fr-FR"/>
        </w:rPr>
        <w:t xml:space="preserve"> </w:t>
      </w:r>
      <w:r w:rsidRPr="00C15200">
        <w:rPr>
          <w:rFonts w:eastAsia="Helvetica"/>
          <w:color w:val="000000"/>
          <w:sz w:val="22"/>
          <w:szCs w:val="22"/>
          <w:u w:color="000000"/>
          <w:bdr w:val="nil"/>
          <w:lang w:val="fr-FR"/>
        </w:rPr>
        <w:t>C-108/10, Ivana Scattolon v Ministero dell’Istruzione, dell’U</w:t>
      </w:r>
      <w:r w:rsidR="00362531">
        <w:rPr>
          <w:rFonts w:eastAsia="Helvetica"/>
          <w:color w:val="000000"/>
          <w:sz w:val="22"/>
          <w:szCs w:val="22"/>
          <w:u w:color="000000"/>
          <w:bdr w:val="nil"/>
          <w:lang w:val="fr-FR"/>
        </w:rPr>
        <w:t>niversità e della Ricerca, par.</w:t>
      </w:r>
      <w:r w:rsidRPr="00C15200">
        <w:rPr>
          <w:rFonts w:eastAsia="Helvetica"/>
          <w:color w:val="000000"/>
          <w:sz w:val="22"/>
          <w:szCs w:val="22"/>
          <w:u w:color="000000"/>
          <w:bdr w:val="nil"/>
          <w:lang w:val="fr-FR"/>
        </w:rPr>
        <w:t>49</w:t>
      </w:r>
    </w:p>
  </w:footnote>
  <w:footnote w:id="4">
    <w:p w14:paraId="77A1AC0F" w14:textId="1FE6A4CD" w:rsidR="009E340C" w:rsidRPr="00C15200" w:rsidRDefault="009E340C" w:rsidP="00B939EB">
      <w:pPr>
        <w:pStyle w:val="Voetnoottekst"/>
        <w:jc w:val="both"/>
        <w:rPr>
          <w:sz w:val="22"/>
          <w:szCs w:val="22"/>
          <w:lang w:val="fr-FR"/>
        </w:rPr>
      </w:pPr>
      <w:r w:rsidRPr="00C15200">
        <w:rPr>
          <w:rStyle w:val="Voetnootmarkering"/>
          <w:sz w:val="22"/>
          <w:szCs w:val="22"/>
        </w:rPr>
        <w:footnoteRef/>
      </w:r>
      <w:r w:rsidRPr="00C15200">
        <w:rPr>
          <w:sz w:val="22"/>
          <w:szCs w:val="22"/>
          <w:lang w:val="fr-FR"/>
        </w:rPr>
        <w:t xml:space="preserve"> </w:t>
      </w:r>
      <w:r w:rsidRPr="00C15200">
        <w:rPr>
          <w:rFonts w:eastAsia="Helvetica"/>
          <w:color w:val="000000"/>
          <w:sz w:val="22"/>
          <w:szCs w:val="22"/>
          <w:u w:color="000000"/>
          <w:bdr w:val="nil"/>
          <w:lang w:val="fr-FR"/>
        </w:rPr>
        <w:t>C-108/10, Ivana Scattolon v Ministero dell’Istruzione, dell’Unive</w:t>
      </w:r>
      <w:r w:rsidR="00362531">
        <w:rPr>
          <w:rFonts w:eastAsia="Helvetica"/>
          <w:color w:val="000000"/>
          <w:sz w:val="22"/>
          <w:szCs w:val="22"/>
          <w:u w:color="000000"/>
          <w:bdr w:val="nil"/>
          <w:lang w:val="fr-FR"/>
        </w:rPr>
        <w:t>rsità e della Ricerca, par.</w:t>
      </w:r>
      <w:r w:rsidRPr="00C15200">
        <w:rPr>
          <w:rFonts w:eastAsia="Helvetica"/>
          <w:color w:val="000000"/>
          <w:sz w:val="22"/>
          <w:szCs w:val="22"/>
          <w:u w:color="000000"/>
          <w:bdr w:val="nil"/>
          <w:lang w:val="fr-FR"/>
        </w:rPr>
        <w:t>44</w:t>
      </w:r>
    </w:p>
  </w:footnote>
  <w:footnote w:id="5">
    <w:p w14:paraId="1052BE94" w14:textId="1BE134FE" w:rsidR="009E340C" w:rsidRPr="00C15200" w:rsidRDefault="009E340C" w:rsidP="00B939EB">
      <w:pPr>
        <w:pStyle w:val="Voetnoottekst"/>
        <w:jc w:val="both"/>
        <w:rPr>
          <w:rFonts w:eastAsia="Helvetica"/>
          <w:color w:val="000000"/>
          <w:sz w:val="22"/>
          <w:szCs w:val="22"/>
          <w:u w:color="000000"/>
          <w:bdr w:val="nil"/>
          <w:lang w:val="en-US"/>
        </w:rPr>
      </w:pPr>
      <w:r w:rsidRPr="00C15200">
        <w:rPr>
          <w:rStyle w:val="Voetnootmarkering"/>
          <w:sz w:val="22"/>
          <w:szCs w:val="22"/>
        </w:rPr>
        <w:footnoteRef/>
      </w:r>
      <w:r w:rsidRPr="00C15200">
        <w:rPr>
          <w:sz w:val="22"/>
          <w:szCs w:val="22"/>
          <w:lang w:val="en-US"/>
        </w:rPr>
        <w:t xml:space="preserve"> </w:t>
      </w:r>
      <w:r w:rsidRPr="00C15200">
        <w:rPr>
          <w:rFonts w:eastAsia="Helvetica"/>
          <w:color w:val="000000"/>
          <w:sz w:val="22"/>
          <w:szCs w:val="22"/>
          <w:u w:color="000000"/>
          <w:bdr w:val="nil"/>
          <w:lang w:val="en-US"/>
        </w:rPr>
        <w:t>C-209/91, Anne Watson Rask and Kirsten Christe</w:t>
      </w:r>
      <w:r w:rsidR="00362531">
        <w:rPr>
          <w:rFonts w:eastAsia="Helvetica"/>
          <w:color w:val="000000"/>
          <w:sz w:val="22"/>
          <w:szCs w:val="22"/>
          <w:u w:color="000000"/>
          <w:bdr w:val="nil"/>
          <w:lang w:val="en-US"/>
        </w:rPr>
        <w:t>nsen v ISS Kantineservice, par.</w:t>
      </w:r>
      <w:r w:rsidRPr="00C15200">
        <w:rPr>
          <w:rFonts w:eastAsia="Helvetica"/>
          <w:color w:val="000000"/>
          <w:sz w:val="22"/>
          <w:szCs w:val="22"/>
          <w:u w:color="000000"/>
          <w:bdr w:val="nil"/>
          <w:lang w:val="en-US"/>
        </w:rPr>
        <w:t>3</w:t>
      </w:r>
    </w:p>
  </w:footnote>
  <w:footnote w:id="6">
    <w:p w14:paraId="312C5787" w14:textId="7CE412D4" w:rsidR="009E340C" w:rsidRPr="00B939EB" w:rsidRDefault="009E340C" w:rsidP="007A5A4D">
      <w:pPr>
        <w:pStyle w:val="Przypisdolny"/>
        <w:jc w:val="both"/>
        <w:rPr>
          <w:rFonts w:ascii="Times New Roman" w:hAnsi="Times New Roman" w:cs="Times New Roman"/>
          <w:lang w:val="en-US"/>
        </w:rPr>
      </w:pPr>
      <w:r w:rsidRPr="00C15200">
        <w:rPr>
          <w:rFonts w:ascii="Times New Roman" w:eastAsia="Times New Roman" w:hAnsi="Times New Roman" w:cs="Times New Roman"/>
          <w:vertAlign w:val="superscript"/>
        </w:rPr>
        <w:footnoteRef/>
      </w:r>
      <w:r w:rsidRPr="00B939EB">
        <w:rPr>
          <w:rFonts w:ascii="Times New Roman" w:hAnsi="Times New Roman" w:cs="Times New Roman"/>
          <w:lang w:val="en-US"/>
        </w:rPr>
        <w:t xml:space="preserve"> C-13/95, Ayse Sü</w:t>
      </w:r>
      <w:r w:rsidRPr="00C15200">
        <w:rPr>
          <w:rFonts w:ascii="Times New Roman" w:hAnsi="Times New Roman" w:cs="Times New Roman"/>
          <w:lang w:val="de-DE"/>
        </w:rPr>
        <w:t>zen v Zehnacker Geb</w:t>
      </w:r>
      <w:r w:rsidRPr="00B939EB">
        <w:rPr>
          <w:rFonts w:ascii="Times New Roman" w:hAnsi="Times New Roman" w:cs="Times New Roman"/>
          <w:lang w:val="en-US"/>
        </w:rPr>
        <w:t>ä</w:t>
      </w:r>
      <w:r w:rsidRPr="00C15200">
        <w:rPr>
          <w:rFonts w:ascii="Times New Roman" w:hAnsi="Times New Roman" w:cs="Times New Roman"/>
          <w:lang w:val="de-DE"/>
        </w:rPr>
        <w:t>udereinigun</w:t>
      </w:r>
      <w:r w:rsidR="00362531">
        <w:rPr>
          <w:rFonts w:ascii="Times New Roman" w:hAnsi="Times New Roman" w:cs="Times New Roman"/>
          <w:lang w:val="de-DE"/>
        </w:rPr>
        <w:t>g GmbH Krankenhausservice, par.</w:t>
      </w:r>
      <w:r w:rsidRPr="00C15200">
        <w:rPr>
          <w:rFonts w:ascii="Times New Roman" w:hAnsi="Times New Roman" w:cs="Times New Roman"/>
          <w:lang w:val="de-DE"/>
        </w:rPr>
        <w:t>11</w:t>
      </w:r>
    </w:p>
  </w:footnote>
  <w:footnote w:id="7">
    <w:p w14:paraId="002CD020" w14:textId="7AD3CD0A" w:rsidR="009E340C" w:rsidRPr="00C15200" w:rsidRDefault="009E340C" w:rsidP="007A5A4D">
      <w:pPr>
        <w:jc w:val="both"/>
        <w:rPr>
          <w:rFonts w:eastAsia="Helvetica"/>
          <w:color w:val="000000"/>
          <w:sz w:val="22"/>
          <w:szCs w:val="22"/>
          <w:u w:color="000000"/>
          <w:bdr w:val="nil"/>
          <w:lang w:val="de-DE"/>
        </w:rPr>
      </w:pPr>
      <w:r w:rsidRPr="00C15200">
        <w:rPr>
          <w:rStyle w:val="Voetnootmarkering"/>
          <w:sz w:val="22"/>
          <w:szCs w:val="22"/>
        </w:rPr>
        <w:footnoteRef/>
      </w:r>
      <w:r w:rsidRPr="00C15200">
        <w:rPr>
          <w:sz w:val="22"/>
          <w:szCs w:val="22"/>
          <w:lang w:val="en-US"/>
        </w:rPr>
        <w:t xml:space="preserve"> </w:t>
      </w:r>
      <w:r w:rsidRPr="00C15200">
        <w:rPr>
          <w:rFonts w:eastAsia="Helvetica"/>
          <w:color w:val="000000"/>
          <w:sz w:val="22"/>
          <w:szCs w:val="22"/>
          <w:u w:color="000000"/>
          <w:bdr w:val="nil"/>
          <w:lang w:val="de-DE"/>
        </w:rPr>
        <w:t>C-51/00, Temco Service Industries SA v Samir Imzilyen and</w:t>
      </w:r>
      <w:r w:rsidR="00362531">
        <w:rPr>
          <w:rFonts w:eastAsia="Helvetica"/>
          <w:color w:val="000000"/>
          <w:sz w:val="22"/>
          <w:szCs w:val="22"/>
          <w:u w:color="000000"/>
          <w:bdr w:val="nil"/>
          <w:lang w:val="de-DE"/>
        </w:rPr>
        <w:t xml:space="preserve"> Others, par.</w:t>
      </w:r>
      <w:r w:rsidRPr="00C15200">
        <w:rPr>
          <w:rFonts w:eastAsia="Helvetica"/>
          <w:color w:val="000000"/>
          <w:sz w:val="22"/>
          <w:szCs w:val="22"/>
          <w:u w:color="000000"/>
          <w:bdr w:val="nil"/>
          <w:lang w:val="de-DE"/>
        </w:rPr>
        <w:t>33</w:t>
      </w:r>
    </w:p>
  </w:footnote>
  <w:footnote w:id="8">
    <w:p w14:paraId="4C822BEA" w14:textId="5820D937" w:rsidR="009E340C" w:rsidRPr="00C15200" w:rsidRDefault="009E340C" w:rsidP="007A5A4D">
      <w:pPr>
        <w:jc w:val="both"/>
        <w:rPr>
          <w:rFonts w:eastAsia="Times New Roman"/>
          <w:sz w:val="22"/>
          <w:szCs w:val="22"/>
          <w:lang w:val="en-US"/>
        </w:rPr>
      </w:pPr>
      <w:r w:rsidRPr="00C15200">
        <w:rPr>
          <w:rStyle w:val="Voetnootmarkering"/>
          <w:sz w:val="22"/>
          <w:szCs w:val="22"/>
        </w:rPr>
        <w:footnoteRef/>
      </w:r>
      <w:r w:rsidRPr="00C15200">
        <w:rPr>
          <w:sz w:val="22"/>
          <w:szCs w:val="22"/>
          <w:lang w:val="en-US"/>
        </w:rPr>
        <w:t xml:space="preserve"> </w:t>
      </w:r>
      <w:r w:rsidRPr="00C15200">
        <w:rPr>
          <w:rFonts w:eastAsia="Helvetica"/>
          <w:color w:val="000000"/>
          <w:sz w:val="22"/>
          <w:szCs w:val="22"/>
          <w:u w:color="000000"/>
          <w:bdr w:val="nil"/>
          <w:lang w:val="de-DE"/>
        </w:rPr>
        <w:t>Case 324/86, Foreningen af Arbejdsledere i Danmark</w:t>
      </w:r>
      <w:r w:rsidR="00362531">
        <w:rPr>
          <w:rFonts w:eastAsia="Helvetica"/>
          <w:color w:val="000000"/>
          <w:sz w:val="22"/>
          <w:szCs w:val="22"/>
          <w:u w:color="000000"/>
          <w:bdr w:val="nil"/>
          <w:lang w:val="de-DE"/>
        </w:rPr>
        <w:t xml:space="preserve"> v Daddy's Dance Hall A/S, par.</w:t>
      </w:r>
      <w:r w:rsidRPr="00C15200">
        <w:rPr>
          <w:rFonts w:eastAsia="Helvetica"/>
          <w:color w:val="000000"/>
          <w:sz w:val="22"/>
          <w:szCs w:val="22"/>
          <w:u w:color="000000"/>
          <w:bdr w:val="nil"/>
          <w:lang w:val="de-DE"/>
        </w:rPr>
        <w:t>11</w:t>
      </w:r>
    </w:p>
  </w:footnote>
  <w:footnote w:id="9">
    <w:p w14:paraId="021858FB" w14:textId="6D2D9B39" w:rsidR="009E340C" w:rsidRPr="00C15200" w:rsidRDefault="009E340C" w:rsidP="007A5A4D">
      <w:pPr>
        <w:jc w:val="both"/>
        <w:rPr>
          <w:rFonts w:eastAsia="Times New Roman"/>
          <w:sz w:val="22"/>
          <w:szCs w:val="22"/>
          <w:lang w:val="en-US"/>
        </w:rPr>
      </w:pPr>
      <w:r w:rsidRPr="00C15200">
        <w:rPr>
          <w:rStyle w:val="Voetnootmarkering"/>
          <w:sz w:val="22"/>
          <w:szCs w:val="22"/>
        </w:rPr>
        <w:footnoteRef/>
      </w:r>
      <w:r w:rsidRPr="00C15200">
        <w:rPr>
          <w:sz w:val="22"/>
          <w:szCs w:val="22"/>
          <w:lang w:val="en-US"/>
        </w:rPr>
        <w:t xml:space="preserve"> </w:t>
      </w:r>
      <w:r w:rsidRPr="00C15200">
        <w:rPr>
          <w:rFonts w:eastAsia="Helvetica"/>
          <w:color w:val="000000"/>
          <w:sz w:val="22"/>
          <w:szCs w:val="22"/>
          <w:u w:color="000000"/>
          <w:bdr w:val="nil"/>
          <w:lang w:val="de-DE"/>
        </w:rPr>
        <w:t>Case 287/86, Landsorganisationen i Danmark for Tjenerforbundet</w:t>
      </w:r>
      <w:r w:rsidR="00362531">
        <w:rPr>
          <w:rFonts w:eastAsia="Helvetica"/>
          <w:color w:val="000000"/>
          <w:sz w:val="22"/>
          <w:szCs w:val="22"/>
          <w:u w:color="000000"/>
          <w:bdr w:val="nil"/>
          <w:lang w:val="de-DE"/>
        </w:rPr>
        <w:t xml:space="preserve"> i Danmark v Ny Mølle Kro, par.</w:t>
      </w:r>
      <w:r w:rsidRPr="00C15200">
        <w:rPr>
          <w:rFonts w:eastAsia="Helvetica"/>
          <w:color w:val="000000"/>
          <w:sz w:val="22"/>
          <w:szCs w:val="22"/>
          <w:u w:color="000000"/>
          <w:bdr w:val="nil"/>
          <w:lang w:val="de-DE"/>
        </w:rPr>
        <w:t>15</w:t>
      </w:r>
    </w:p>
  </w:footnote>
  <w:footnote w:id="10">
    <w:p w14:paraId="133A0AA3" w14:textId="36EAD1F4" w:rsidR="009E340C" w:rsidRPr="004F50BE" w:rsidRDefault="009E340C" w:rsidP="004F50BE">
      <w:pPr>
        <w:jc w:val="both"/>
        <w:rPr>
          <w:rFonts w:eastAsia="Times New Roman"/>
          <w:sz w:val="22"/>
          <w:szCs w:val="22"/>
          <w:lang w:val="en-US"/>
        </w:rPr>
      </w:pPr>
      <w:r w:rsidRPr="00C15200">
        <w:rPr>
          <w:rStyle w:val="Voetnootmarkering"/>
          <w:sz w:val="22"/>
          <w:szCs w:val="22"/>
        </w:rPr>
        <w:footnoteRef/>
      </w:r>
      <w:r w:rsidRPr="00C15200">
        <w:rPr>
          <w:sz w:val="22"/>
          <w:szCs w:val="22"/>
          <w:lang w:val="en-US"/>
        </w:rPr>
        <w:t xml:space="preserve"> </w:t>
      </w:r>
      <w:r w:rsidRPr="00C15200">
        <w:rPr>
          <w:rFonts w:eastAsia="Helvetica"/>
          <w:color w:val="000000"/>
          <w:sz w:val="22"/>
          <w:szCs w:val="22"/>
          <w:u w:color="000000"/>
          <w:bdr w:val="nil"/>
          <w:lang w:val="de-DE"/>
        </w:rPr>
        <w:t>Cases 144 and 145/87, Harry Berg and Johannes Theodorus Maria Busschers v Ivo Martin Besselsen, par. 1</w:t>
      </w:r>
      <w:r>
        <w:rPr>
          <w:rFonts w:eastAsia="Helvetica"/>
          <w:color w:val="000000"/>
          <w:sz w:val="22"/>
          <w:szCs w:val="22"/>
          <w:u w:color="000000"/>
          <w:bdr w:val="nil"/>
          <w:lang w:val="de-DE"/>
        </w:rPr>
        <w:t>4</w:t>
      </w:r>
    </w:p>
  </w:footnote>
  <w:footnote w:id="11">
    <w:p w14:paraId="1882FCB2" w14:textId="2E29CC7A" w:rsidR="009E340C" w:rsidRPr="00C15200" w:rsidRDefault="009E340C" w:rsidP="007A5A4D">
      <w:pPr>
        <w:jc w:val="both"/>
        <w:rPr>
          <w:rFonts w:eastAsia="Helvetica"/>
          <w:color w:val="000000"/>
          <w:sz w:val="22"/>
          <w:szCs w:val="22"/>
          <w:u w:color="000000"/>
          <w:bdr w:val="nil"/>
          <w:lang w:val="de-DE"/>
        </w:rPr>
      </w:pPr>
      <w:r w:rsidRPr="00C15200">
        <w:rPr>
          <w:rStyle w:val="Voetnootmarkering"/>
          <w:sz w:val="22"/>
          <w:szCs w:val="22"/>
        </w:rPr>
        <w:footnoteRef/>
      </w:r>
      <w:r w:rsidRPr="00C15200">
        <w:rPr>
          <w:sz w:val="22"/>
          <w:szCs w:val="22"/>
          <w:lang w:val="en-US"/>
        </w:rPr>
        <w:t xml:space="preserve"> </w:t>
      </w:r>
      <w:r w:rsidRPr="00C15200">
        <w:rPr>
          <w:rFonts w:eastAsia="Helvetica"/>
          <w:color w:val="000000"/>
          <w:sz w:val="22"/>
          <w:szCs w:val="22"/>
          <w:u w:color="000000"/>
          <w:bdr w:val="nil"/>
          <w:lang w:val="de-DE"/>
        </w:rPr>
        <w:t>C-29/91, Sophie Redmond Stichting v He</w:t>
      </w:r>
      <w:r w:rsidR="00362531">
        <w:rPr>
          <w:rFonts w:eastAsia="Helvetica"/>
          <w:color w:val="000000"/>
          <w:sz w:val="22"/>
          <w:szCs w:val="22"/>
          <w:u w:color="000000"/>
          <w:bdr w:val="nil"/>
          <w:lang w:val="de-DE"/>
        </w:rPr>
        <w:t>ndrikus Bartol and Others, par.</w:t>
      </w:r>
      <w:r w:rsidRPr="00C15200">
        <w:rPr>
          <w:rFonts w:eastAsia="Helvetica"/>
          <w:color w:val="000000"/>
          <w:sz w:val="22"/>
          <w:szCs w:val="22"/>
          <w:u w:color="000000"/>
          <w:bdr w:val="nil"/>
          <w:lang w:val="de-DE"/>
        </w:rPr>
        <w:t>14</w:t>
      </w:r>
    </w:p>
  </w:footnote>
  <w:footnote w:id="12">
    <w:p w14:paraId="0D26A938" w14:textId="635CD6BF" w:rsidR="009E340C" w:rsidRPr="00C15200" w:rsidRDefault="009E340C" w:rsidP="007A5A4D">
      <w:pPr>
        <w:pStyle w:val="Przypisdolny"/>
        <w:jc w:val="both"/>
        <w:rPr>
          <w:rFonts w:ascii="Times New Roman" w:hAnsi="Times New Roman" w:cs="Times New Roman"/>
          <w:lang w:val="en-US"/>
        </w:rPr>
      </w:pPr>
      <w:r w:rsidRPr="00C15200">
        <w:rPr>
          <w:rFonts w:ascii="Times New Roman" w:eastAsia="Times New Roman" w:hAnsi="Times New Roman" w:cs="Times New Roman"/>
          <w:vertAlign w:val="superscript"/>
        </w:rPr>
        <w:footnoteRef/>
      </w:r>
      <w:r w:rsidRPr="00C15200">
        <w:rPr>
          <w:rFonts w:ascii="Times New Roman" w:hAnsi="Times New Roman" w:cs="Times New Roman"/>
          <w:lang w:val="nl-NL"/>
        </w:rPr>
        <w:t xml:space="preserve"> Case 24/85, Jozef Maria Antonius Spijkers v Gebroeders Benedik Abattoir CV and Alfred Benedik en</w:t>
      </w:r>
      <w:r w:rsidRPr="00C15200">
        <w:rPr>
          <w:rFonts w:ascii="Times New Roman" w:hAnsi="Times New Roman" w:cs="Times New Roman"/>
          <w:lang w:val="en-US"/>
        </w:rPr>
        <w:t xml:space="preserve"> </w:t>
      </w:r>
      <w:r w:rsidR="00362531">
        <w:rPr>
          <w:rFonts w:ascii="Times New Roman" w:hAnsi="Times New Roman" w:cs="Times New Roman"/>
          <w:lang w:val="de-DE"/>
        </w:rPr>
        <w:t>Zonen BV, par.</w:t>
      </w:r>
      <w:r w:rsidRPr="00C15200">
        <w:rPr>
          <w:rFonts w:ascii="Times New Roman" w:hAnsi="Times New Roman" w:cs="Times New Roman"/>
          <w:lang w:val="de-DE"/>
        </w:rPr>
        <w:t>13</w:t>
      </w:r>
    </w:p>
  </w:footnote>
  <w:footnote w:id="13">
    <w:p w14:paraId="06020D6A" w14:textId="59E19386" w:rsidR="009E340C" w:rsidRPr="00C15200" w:rsidRDefault="009E340C" w:rsidP="007A5A4D">
      <w:pPr>
        <w:jc w:val="both"/>
        <w:rPr>
          <w:rFonts w:eastAsia="Times New Roman"/>
          <w:sz w:val="22"/>
          <w:szCs w:val="22"/>
          <w:lang w:val="fr-FR"/>
        </w:rPr>
      </w:pPr>
      <w:r w:rsidRPr="00C15200">
        <w:rPr>
          <w:rStyle w:val="Voetnootmarkering"/>
          <w:sz w:val="22"/>
          <w:szCs w:val="22"/>
        </w:rPr>
        <w:footnoteRef/>
      </w:r>
      <w:r w:rsidRPr="00C15200">
        <w:rPr>
          <w:sz w:val="22"/>
          <w:szCs w:val="22"/>
          <w:lang w:val="fr-FR"/>
        </w:rPr>
        <w:t xml:space="preserve"> </w:t>
      </w:r>
      <w:r w:rsidRPr="00C15200">
        <w:rPr>
          <w:rFonts w:eastAsia="Helvetica"/>
          <w:color w:val="000000"/>
          <w:sz w:val="22"/>
          <w:szCs w:val="22"/>
          <w:u w:color="000000"/>
          <w:bdr w:val="nil"/>
          <w:lang w:val="nl-NL"/>
        </w:rPr>
        <w:t>C-172/99, Oy Liikenne Ab v Pekka Lisko</w:t>
      </w:r>
      <w:r w:rsidR="00362531">
        <w:rPr>
          <w:rFonts w:eastAsia="Helvetica"/>
          <w:color w:val="000000"/>
          <w:sz w:val="22"/>
          <w:szCs w:val="22"/>
          <w:u w:color="000000"/>
          <w:bdr w:val="nil"/>
          <w:lang w:val="nl-NL"/>
        </w:rPr>
        <w:t>järvi and Pentti Juntunen, par.</w:t>
      </w:r>
      <w:r w:rsidRPr="00C15200">
        <w:rPr>
          <w:rFonts w:eastAsia="Helvetica"/>
          <w:color w:val="000000"/>
          <w:sz w:val="22"/>
          <w:szCs w:val="22"/>
          <w:u w:color="000000"/>
          <w:bdr w:val="nil"/>
          <w:lang w:val="nl-NL"/>
        </w:rPr>
        <w:t>34</w:t>
      </w:r>
    </w:p>
  </w:footnote>
  <w:footnote w:id="14">
    <w:p w14:paraId="08471E69" w14:textId="24F43FA0" w:rsidR="009E340C" w:rsidRPr="00C15200" w:rsidRDefault="009E340C" w:rsidP="007A5A4D">
      <w:pPr>
        <w:jc w:val="both"/>
        <w:rPr>
          <w:rFonts w:eastAsia="Helvetica"/>
          <w:color w:val="000000"/>
          <w:sz w:val="22"/>
          <w:szCs w:val="22"/>
          <w:u w:color="000000"/>
          <w:bdr w:val="nil"/>
          <w:lang w:val="nl-NL"/>
        </w:rPr>
      </w:pPr>
      <w:r w:rsidRPr="00C15200">
        <w:rPr>
          <w:rStyle w:val="Voetnootmarkering"/>
          <w:sz w:val="22"/>
          <w:szCs w:val="22"/>
        </w:rPr>
        <w:footnoteRef/>
      </w:r>
      <w:r w:rsidRPr="00C15200">
        <w:rPr>
          <w:sz w:val="22"/>
          <w:szCs w:val="22"/>
          <w:lang w:val="fr-FR"/>
        </w:rPr>
        <w:t xml:space="preserve"> </w:t>
      </w:r>
      <w:r w:rsidRPr="00C15200">
        <w:rPr>
          <w:rFonts w:eastAsia="Helvetica"/>
          <w:color w:val="000000"/>
          <w:sz w:val="22"/>
          <w:szCs w:val="22"/>
          <w:u w:color="000000"/>
          <w:bdr w:val="nil"/>
          <w:lang w:val="nl-NL"/>
        </w:rPr>
        <w:t>C-175/99, Didier Mayeur v Association Promotion de l'i</w:t>
      </w:r>
      <w:r w:rsidR="00362531">
        <w:rPr>
          <w:rFonts w:eastAsia="Helvetica"/>
          <w:color w:val="000000"/>
          <w:sz w:val="22"/>
          <w:szCs w:val="22"/>
          <w:u w:color="000000"/>
          <w:bdr w:val="nil"/>
          <w:lang w:val="nl-NL"/>
        </w:rPr>
        <w:t>nformation messine (APIM), par.</w:t>
      </w:r>
      <w:r w:rsidRPr="00C15200">
        <w:rPr>
          <w:rFonts w:eastAsia="Helvetica"/>
          <w:color w:val="000000"/>
          <w:sz w:val="22"/>
          <w:szCs w:val="22"/>
          <w:u w:color="000000"/>
          <w:bdr w:val="nil"/>
          <w:lang w:val="nl-NL"/>
        </w:rPr>
        <w:t>53</w:t>
      </w:r>
    </w:p>
  </w:footnote>
  <w:footnote w:id="15">
    <w:p w14:paraId="1380B03B" w14:textId="0730B07C" w:rsidR="009E340C" w:rsidRPr="00C15200" w:rsidRDefault="009E340C" w:rsidP="007A5A4D">
      <w:pPr>
        <w:jc w:val="both"/>
        <w:rPr>
          <w:rFonts w:eastAsia="Helvetica"/>
          <w:color w:val="000000"/>
          <w:sz w:val="22"/>
          <w:szCs w:val="22"/>
          <w:u w:color="000000"/>
          <w:bdr w:val="nil"/>
          <w:lang w:val="en-US"/>
        </w:rPr>
      </w:pPr>
      <w:r w:rsidRPr="00C15200">
        <w:rPr>
          <w:rStyle w:val="Voetnootmarkering"/>
          <w:sz w:val="22"/>
          <w:szCs w:val="22"/>
        </w:rPr>
        <w:footnoteRef/>
      </w:r>
      <w:r w:rsidRPr="00C15200">
        <w:rPr>
          <w:sz w:val="22"/>
          <w:szCs w:val="22"/>
          <w:lang w:val="en-US"/>
        </w:rPr>
        <w:t xml:space="preserve"> </w:t>
      </w:r>
      <w:r w:rsidRPr="00C15200">
        <w:rPr>
          <w:rFonts w:eastAsia="Helvetica"/>
          <w:color w:val="000000"/>
          <w:sz w:val="22"/>
          <w:szCs w:val="22"/>
          <w:u w:color="000000"/>
          <w:bdr w:val="nil"/>
          <w:lang w:val="en-US"/>
        </w:rPr>
        <w:t xml:space="preserve">C-340/01, Carlito Abler and Other v Sodexho MM </w:t>
      </w:r>
      <w:r w:rsidR="00362531">
        <w:rPr>
          <w:rFonts w:eastAsia="Helvetica"/>
          <w:color w:val="000000"/>
          <w:sz w:val="22"/>
          <w:szCs w:val="22"/>
          <w:u w:color="000000"/>
          <w:bdr w:val="nil"/>
          <w:lang w:val="en-US"/>
        </w:rPr>
        <w:t>Catering Gesellschaft mbH, par.3</w:t>
      </w:r>
      <w:r w:rsidRPr="00C15200">
        <w:rPr>
          <w:rFonts w:eastAsia="Helvetica"/>
          <w:color w:val="000000"/>
          <w:sz w:val="22"/>
          <w:szCs w:val="22"/>
          <w:u w:color="000000"/>
          <w:bdr w:val="nil"/>
          <w:lang w:val="en-US"/>
        </w:rPr>
        <w:t>6</w:t>
      </w:r>
    </w:p>
  </w:footnote>
  <w:footnote w:id="16">
    <w:p w14:paraId="726D1EEA" w14:textId="01B71A17" w:rsidR="009E340C" w:rsidRPr="00C15200" w:rsidRDefault="009E340C" w:rsidP="007A5A4D">
      <w:pPr>
        <w:pStyle w:val="Voetnoottekst"/>
        <w:jc w:val="both"/>
        <w:rPr>
          <w:sz w:val="22"/>
          <w:szCs w:val="22"/>
          <w:lang w:val="fr-FR"/>
        </w:rPr>
      </w:pPr>
      <w:r w:rsidRPr="00C15200">
        <w:rPr>
          <w:rStyle w:val="Voetnootmarkering"/>
          <w:sz w:val="22"/>
          <w:szCs w:val="22"/>
        </w:rPr>
        <w:footnoteRef/>
      </w:r>
      <w:r w:rsidRPr="00C15200">
        <w:rPr>
          <w:sz w:val="22"/>
          <w:szCs w:val="22"/>
          <w:lang w:val="fr-FR"/>
        </w:rPr>
        <w:t xml:space="preserve"> </w:t>
      </w:r>
      <w:r w:rsidRPr="00C15200">
        <w:rPr>
          <w:rFonts w:eastAsia="Helvetica"/>
          <w:color w:val="000000"/>
          <w:sz w:val="22"/>
          <w:szCs w:val="22"/>
          <w:u w:color="000000"/>
          <w:bdr w:val="nil"/>
          <w:lang w:val="fr-FR"/>
        </w:rPr>
        <w:t>C-466/07, Dietmar Klarenberg v Fe</w:t>
      </w:r>
      <w:r w:rsidR="00362531">
        <w:rPr>
          <w:rFonts w:eastAsia="Helvetica"/>
          <w:color w:val="000000"/>
          <w:sz w:val="22"/>
          <w:szCs w:val="22"/>
          <w:u w:color="000000"/>
          <w:bdr w:val="nil"/>
          <w:lang w:val="fr-FR"/>
        </w:rPr>
        <w:t>rrotron Technologies GmbH, par.</w:t>
      </w:r>
      <w:r w:rsidRPr="00C15200">
        <w:rPr>
          <w:rFonts w:eastAsia="Helvetica"/>
          <w:color w:val="000000"/>
          <w:sz w:val="22"/>
          <w:szCs w:val="22"/>
          <w:u w:color="000000"/>
          <w:bdr w:val="nil"/>
          <w:lang w:val="fr-FR"/>
        </w:rPr>
        <w:t>20</w:t>
      </w:r>
    </w:p>
  </w:footnote>
  <w:footnote w:id="17">
    <w:p w14:paraId="34CEC78E" w14:textId="3F4D3CC8" w:rsidR="009E340C" w:rsidRPr="00C90CB4" w:rsidRDefault="009E340C" w:rsidP="00C90CB4">
      <w:pPr>
        <w:jc w:val="both"/>
        <w:rPr>
          <w:rFonts w:eastAsia="Times New Roman"/>
          <w:lang w:val="en-US"/>
        </w:rPr>
      </w:pPr>
      <w:r>
        <w:rPr>
          <w:rStyle w:val="Voetnootmarkering"/>
        </w:rPr>
        <w:footnoteRef/>
      </w:r>
      <w:r w:rsidRPr="00C90CB4">
        <w:rPr>
          <w:lang w:val="en-US"/>
        </w:rPr>
        <w:t xml:space="preserve"> </w:t>
      </w:r>
      <w:r w:rsidRPr="00C90CB4">
        <w:rPr>
          <w:rFonts w:eastAsia="Helvetica"/>
          <w:bCs/>
          <w:color w:val="000000"/>
          <w:sz w:val="22"/>
          <w:szCs w:val="22"/>
          <w:u w:color="000000"/>
          <w:bdr w:val="nil"/>
          <w:lang w:val="en-US"/>
        </w:rPr>
        <w:t>Joined opinion of Mr Advocate General Cosm</w:t>
      </w:r>
      <w:r w:rsidRPr="00C90CB4">
        <w:rPr>
          <w:rFonts w:eastAsia="Helvetica"/>
          <w:color w:val="000000"/>
          <w:sz w:val="22"/>
          <w:szCs w:val="22"/>
          <w:u w:color="000000"/>
          <w:bdr w:val="nil"/>
          <w:lang w:val="en-US"/>
        </w:rPr>
        <w:t xml:space="preserve">as delivered on 24 September 1998, </w:t>
      </w:r>
      <w:r w:rsidRPr="00C90CB4">
        <w:rPr>
          <w:rFonts w:eastAsia="Helvetica"/>
          <w:bCs/>
          <w:color w:val="000000"/>
          <w:sz w:val="22"/>
          <w:szCs w:val="22"/>
          <w:u w:color="000000"/>
          <w:bdr w:val="nil"/>
          <w:lang w:val="en-US"/>
        </w:rPr>
        <w:t>C-127/96, C-229/96 and C-74/97</w:t>
      </w:r>
      <w:r w:rsidRPr="00C90CB4">
        <w:rPr>
          <w:rFonts w:eastAsia="Helvetica"/>
          <w:color w:val="000000"/>
          <w:sz w:val="22"/>
          <w:szCs w:val="22"/>
          <w:u w:color="000000"/>
          <w:bdr w:val="nil"/>
          <w:lang w:val="en-US"/>
        </w:rPr>
        <w:t xml:space="preserve">, </w:t>
      </w:r>
      <w:r w:rsidRPr="00C90CB4">
        <w:rPr>
          <w:rFonts w:eastAsia="Helvetica"/>
          <w:bCs/>
          <w:color w:val="000000"/>
          <w:sz w:val="22"/>
          <w:szCs w:val="22"/>
          <w:u w:color="000000"/>
          <w:bdr w:val="nil"/>
          <w:lang w:val="en-US"/>
        </w:rPr>
        <w:t>C-173/96 and C-247/96</w:t>
      </w:r>
      <w:r w:rsidR="00362531">
        <w:rPr>
          <w:rFonts w:eastAsia="Helvetica"/>
          <w:color w:val="000000"/>
          <w:sz w:val="22"/>
          <w:szCs w:val="22"/>
          <w:u w:color="000000"/>
          <w:bdr w:val="nil"/>
          <w:lang w:val="en-US"/>
        </w:rPr>
        <w:t>, par.</w:t>
      </w:r>
      <w:r w:rsidRPr="00C90CB4">
        <w:rPr>
          <w:rFonts w:eastAsia="Helvetica"/>
          <w:color w:val="000000"/>
          <w:sz w:val="22"/>
          <w:szCs w:val="22"/>
          <w:u w:color="000000"/>
          <w:bdr w:val="nil"/>
          <w:lang w:val="en-US"/>
        </w:rPr>
        <w:t>8</w:t>
      </w:r>
      <w:r>
        <w:rPr>
          <w:rFonts w:eastAsia="Helvetica"/>
          <w:color w:val="000000"/>
          <w:sz w:val="22"/>
          <w:szCs w:val="22"/>
          <w:u w:color="000000"/>
          <w:bdr w:val="nil"/>
          <w:lang w:val="en-US"/>
        </w:rPr>
        <w:t>3.</w:t>
      </w:r>
    </w:p>
  </w:footnote>
  <w:footnote w:id="18">
    <w:p w14:paraId="3A33E97B" w14:textId="52571979" w:rsidR="009E340C" w:rsidRPr="00C15200" w:rsidRDefault="009E340C" w:rsidP="007A5A4D">
      <w:pPr>
        <w:jc w:val="both"/>
        <w:rPr>
          <w:rFonts w:eastAsia="Times New Roman"/>
          <w:sz w:val="22"/>
          <w:szCs w:val="22"/>
          <w:lang w:val="fr-FR"/>
        </w:rPr>
      </w:pPr>
      <w:r w:rsidRPr="00C15200">
        <w:rPr>
          <w:rStyle w:val="Voetnootmarkering"/>
          <w:sz w:val="22"/>
          <w:szCs w:val="22"/>
        </w:rPr>
        <w:footnoteRef/>
      </w:r>
      <w:r w:rsidRPr="00C15200">
        <w:rPr>
          <w:sz w:val="22"/>
          <w:szCs w:val="22"/>
          <w:lang w:val="fr-FR"/>
        </w:rPr>
        <w:t xml:space="preserve"> </w:t>
      </w:r>
      <w:r w:rsidRPr="00C15200">
        <w:rPr>
          <w:rFonts w:eastAsia="Helvetica"/>
          <w:color w:val="000000"/>
          <w:sz w:val="22"/>
          <w:szCs w:val="22"/>
          <w:u w:color="000000"/>
          <w:bdr w:val="nil"/>
          <w:lang w:val="fr-FR"/>
        </w:rPr>
        <w:t>C-466/07, Dietmar Klarenberg v Ferrotron Technologies GmbH</w:t>
      </w:r>
      <w:r w:rsidR="00362531">
        <w:rPr>
          <w:rFonts w:eastAsia="Helvetica"/>
          <w:color w:val="000000"/>
          <w:sz w:val="22"/>
          <w:szCs w:val="22"/>
          <w:u w:color="000000"/>
          <w:bdr w:val="nil"/>
          <w:lang w:val="fr-FR"/>
        </w:rPr>
        <w:t>, par.</w:t>
      </w:r>
      <w:r w:rsidRPr="00C15200">
        <w:rPr>
          <w:rFonts w:eastAsia="Helvetica"/>
          <w:color w:val="000000"/>
          <w:sz w:val="22"/>
          <w:szCs w:val="22"/>
          <w:u w:color="000000"/>
          <w:bdr w:val="nil"/>
          <w:lang w:val="fr-FR"/>
        </w:rPr>
        <w:t>53</w:t>
      </w:r>
    </w:p>
  </w:footnote>
  <w:footnote w:id="19">
    <w:p w14:paraId="09695A6F" w14:textId="77777777" w:rsidR="009E340C" w:rsidRPr="00C15200" w:rsidRDefault="009E340C" w:rsidP="007A5A4D">
      <w:pPr>
        <w:pStyle w:val="Przypisdolny"/>
        <w:jc w:val="both"/>
        <w:rPr>
          <w:rFonts w:ascii="Times New Roman" w:hAnsi="Times New Roman" w:cs="Times New Roman"/>
          <w:lang w:val="en-US"/>
        </w:rPr>
      </w:pPr>
      <w:r w:rsidRPr="00C15200">
        <w:rPr>
          <w:rFonts w:ascii="Times New Roman" w:eastAsia="Times New Roman" w:hAnsi="Times New Roman" w:cs="Times New Roman"/>
          <w:vertAlign w:val="superscript"/>
        </w:rPr>
        <w:footnoteRef/>
      </w:r>
      <w:r w:rsidRPr="00C15200">
        <w:rPr>
          <w:rFonts w:ascii="Times New Roman" w:hAnsi="Times New Roman" w:cs="Times New Roman"/>
          <w:lang w:val="en-US"/>
        </w:rPr>
        <w:t xml:space="preserve"> BH 1995/493</w:t>
      </w:r>
    </w:p>
  </w:footnote>
  <w:footnote w:id="20">
    <w:p w14:paraId="2F373552" w14:textId="27F0E605" w:rsidR="009E340C" w:rsidRPr="00E63ABD" w:rsidRDefault="009E340C" w:rsidP="007A5A4D">
      <w:pPr>
        <w:pStyle w:val="Voetnoottekst"/>
        <w:jc w:val="both"/>
        <w:rPr>
          <w:sz w:val="22"/>
          <w:szCs w:val="22"/>
          <w:lang w:val="en-US"/>
        </w:rPr>
      </w:pPr>
      <w:r w:rsidRPr="00C15200">
        <w:rPr>
          <w:rStyle w:val="Voetnootmarkering"/>
          <w:sz w:val="22"/>
          <w:szCs w:val="22"/>
        </w:rPr>
        <w:footnoteRef/>
      </w:r>
      <w:r w:rsidRPr="00E63ABD">
        <w:rPr>
          <w:sz w:val="22"/>
          <w:szCs w:val="22"/>
          <w:lang w:val="en-US"/>
        </w:rPr>
        <w:t xml:space="preserve"> </w:t>
      </w:r>
      <w:r w:rsidRPr="00E63ABD">
        <w:rPr>
          <w:rFonts w:eastAsia="Helvetica"/>
          <w:color w:val="000000"/>
          <w:sz w:val="22"/>
          <w:szCs w:val="22"/>
          <w:u w:color="000000"/>
          <w:bdr w:val="nil"/>
          <w:lang w:val="en-US"/>
        </w:rPr>
        <w:t>C-466/07, Dietmar Klarenberg v Fe</w:t>
      </w:r>
      <w:r w:rsidR="00362531" w:rsidRPr="00E63ABD">
        <w:rPr>
          <w:rFonts w:eastAsia="Helvetica"/>
          <w:color w:val="000000"/>
          <w:sz w:val="22"/>
          <w:szCs w:val="22"/>
          <w:u w:color="000000"/>
          <w:bdr w:val="nil"/>
          <w:lang w:val="en-US"/>
        </w:rPr>
        <w:t>rrotron Technologies GmbH, par.</w:t>
      </w:r>
      <w:r w:rsidRPr="00E63ABD">
        <w:rPr>
          <w:rFonts w:eastAsia="Helvetica"/>
          <w:color w:val="000000"/>
          <w:sz w:val="22"/>
          <w:szCs w:val="22"/>
          <w:u w:color="000000"/>
          <w:bdr w:val="nil"/>
          <w:lang w:val="en-US"/>
        </w:rPr>
        <w:t>20</w:t>
      </w:r>
    </w:p>
  </w:footnote>
  <w:footnote w:id="21">
    <w:p w14:paraId="15E16446" w14:textId="0971B272" w:rsidR="009E340C" w:rsidRPr="00C15200" w:rsidRDefault="009E340C" w:rsidP="007A5A4D">
      <w:pPr>
        <w:jc w:val="both"/>
        <w:rPr>
          <w:rFonts w:eastAsia="Times New Roman"/>
          <w:sz w:val="22"/>
          <w:szCs w:val="22"/>
          <w:lang w:val="en-US"/>
        </w:rPr>
      </w:pPr>
      <w:r w:rsidRPr="00C15200">
        <w:rPr>
          <w:rStyle w:val="Voetnootmarkering"/>
          <w:sz w:val="22"/>
          <w:szCs w:val="22"/>
        </w:rPr>
        <w:footnoteRef/>
      </w:r>
      <w:r w:rsidRPr="00C15200">
        <w:rPr>
          <w:sz w:val="22"/>
          <w:szCs w:val="22"/>
          <w:lang w:val="en-US"/>
        </w:rPr>
        <w:t xml:space="preserve"> </w:t>
      </w:r>
      <w:r w:rsidRPr="00C15200">
        <w:rPr>
          <w:rFonts w:eastAsia="Helvetica"/>
          <w:color w:val="000000"/>
          <w:sz w:val="22"/>
          <w:szCs w:val="22"/>
          <w:u w:color="000000"/>
          <w:bdr w:val="nil"/>
          <w:lang w:val="en-US"/>
        </w:rPr>
        <w:t xml:space="preserve">C-171/94 and C-172/94, Albert Merckx and Patrick Neuhuys v Ford </w:t>
      </w:r>
      <w:r w:rsidR="00362531">
        <w:rPr>
          <w:rFonts w:eastAsia="Helvetica"/>
          <w:color w:val="000000"/>
          <w:sz w:val="22"/>
          <w:szCs w:val="22"/>
          <w:u w:color="000000"/>
          <w:bdr w:val="nil"/>
          <w:lang w:val="en-US"/>
        </w:rPr>
        <w:t>Motors Company Belgium SA, par. 8,</w:t>
      </w:r>
      <w:r w:rsidRPr="00C15200">
        <w:rPr>
          <w:rFonts w:eastAsia="Times New Roman"/>
          <w:sz w:val="22"/>
          <w:szCs w:val="22"/>
          <w:lang w:val="en-US"/>
        </w:rPr>
        <w:t>15</w:t>
      </w:r>
    </w:p>
  </w:footnote>
  <w:footnote w:id="22">
    <w:p w14:paraId="57A52FDD" w14:textId="07AD5A08" w:rsidR="009E340C" w:rsidRPr="00C15200" w:rsidRDefault="009E340C" w:rsidP="007A5A4D">
      <w:pPr>
        <w:pStyle w:val="Voetnoottekst"/>
        <w:jc w:val="both"/>
        <w:rPr>
          <w:sz w:val="22"/>
          <w:szCs w:val="22"/>
          <w:lang w:val="en-US"/>
        </w:rPr>
      </w:pPr>
      <w:r w:rsidRPr="00C15200">
        <w:rPr>
          <w:rStyle w:val="Voetnootmarkering"/>
          <w:sz w:val="22"/>
          <w:szCs w:val="22"/>
        </w:rPr>
        <w:footnoteRef/>
      </w:r>
      <w:r w:rsidRPr="00C15200">
        <w:rPr>
          <w:sz w:val="22"/>
          <w:szCs w:val="22"/>
          <w:lang w:val="en-US"/>
        </w:rPr>
        <w:t xml:space="preserve"> </w:t>
      </w:r>
      <w:r w:rsidRPr="00C15200">
        <w:rPr>
          <w:rFonts w:eastAsia="Helvetica"/>
          <w:color w:val="000000"/>
          <w:sz w:val="22"/>
          <w:szCs w:val="22"/>
          <w:u w:color="000000"/>
          <w:bdr w:val="nil"/>
          <w:lang w:val="nl-NL"/>
        </w:rPr>
        <w:t>C-172/99, Oy Liikenne Ab v Pekka Liskojärvi and Pentt</w:t>
      </w:r>
      <w:r w:rsidR="00362531">
        <w:rPr>
          <w:rFonts w:eastAsia="Helvetica"/>
          <w:color w:val="000000"/>
          <w:sz w:val="22"/>
          <w:szCs w:val="22"/>
          <w:u w:color="000000"/>
          <w:bdr w:val="nil"/>
          <w:lang w:val="nl-NL"/>
        </w:rPr>
        <w:t>i Juntunen, par.</w:t>
      </w:r>
      <w:r w:rsidRPr="00C15200">
        <w:rPr>
          <w:rFonts w:eastAsia="Helvetica"/>
          <w:color w:val="000000"/>
          <w:sz w:val="22"/>
          <w:szCs w:val="22"/>
          <w:u w:color="000000"/>
          <w:bdr w:val="nil"/>
          <w:lang w:val="nl-NL"/>
        </w:rPr>
        <w:t>41</w:t>
      </w:r>
    </w:p>
  </w:footnote>
  <w:footnote w:id="23">
    <w:p w14:paraId="0631AF0E" w14:textId="290D4B70" w:rsidR="009E340C" w:rsidRPr="00C15200" w:rsidRDefault="009E340C" w:rsidP="007A5A4D">
      <w:pPr>
        <w:pStyle w:val="Przypisdolny"/>
        <w:jc w:val="both"/>
        <w:rPr>
          <w:rFonts w:ascii="Times New Roman" w:hAnsi="Times New Roman" w:cs="Times New Roman"/>
          <w:lang w:val="en-US"/>
        </w:rPr>
      </w:pPr>
      <w:r w:rsidRPr="00C15200">
        <w:rPr>
          <w:rFonts w:ascii="Times New Roman" w:eastAsia="Times New Roman" w:hAnsi="Times New Roman" w:cs="Times New Roman"/>
          <w:vertAlign w:val="superscript"/>
        </w:rPr>
        <w:footnoteRef/>
      </w:r>
      <w:r w:rsidRPr="00C15200">
        <w:rPr>
          <w:rFonts w:ascii="Times New Roman" w:hAnsi="Times New Roman" w:cs="Times New Roman"/>
          <w:lang w:val="da-DK"/>
        </w:rPr>
        <w:t xml:space="preserve"> C-101/87, P. Bork International A/S, in liquidation v Foreningen af Arbejdsledere I Danmark, acting</w:t>
      </w:r>
      <w:r w:rsidRPr="00C15200">
        <w:rPr>
          <w:rFonts w:ascii="Times New Roman" w:hAnsi="Times New Roman" w:cs="Times New Roman"/>
          <w:lang w:val="en-US"/>
        </w:rPr>
        <w:t xml:space="preserve"> on behalf of Birger E. Petersen, and Jens E. Olsen and others </w:t>
      </w:r>
      <w:r w:rsidR="00362531">
        <w:rPr>
          <w:rFonts w:ascii="Times New Roman" w:hAnsi="Times New Roman" w:cs="Times New Roman"/>
          <w:lang w:val="en-US"/>
        </w:rPr>
        <w:t>v Junckers Industrier A/S, par.</w:t>
      </w:r>
      <w:r w:rsidRPr="00C15200">
        <w:rPr>
          <w:rFonts w:ascii="Times New Roman" w:hAnsi="Times New Roman" w:cs="Times New Roman"/>
          <w:lang w:val="en-US"/>
        </w:rPr>
        <w:t>16</w:t>
      </w:r>
    </w:p>
  </w:footnote>
  <w:footnote w:id="24">
    <w:p w14:paraId="1640474C" w14:textId="58D74B36" w:rsidR="009E340C" w:rsidRPr="00C15200" w:rsidRDefault="009E340C" w:rsidP="007A5A4D">
      <w:pPr>
        <w:pStyle w:val="Voetnoottekst"/>
        <w:jc w:val="both"/>
        <w:rPr>
          <w:sz w:val="22"/>
          <w:szCs w:val="22"/>
          <w:lang w:val="en-US"/>
        </w:rPr>
      </w:pPr>
      <w:r w:rsidRPr="00C15200">
        <w:rPr>
          <w:rStyle w:val="Voetnootmarkering"/>
          <w:sz w:val="22"/>
          <w:szCs w:val="22"/>
        </w:rPr>
        <w:footnoteRef/>
      </w:r>
      <w:r w:rsidRPr="00C15200">
        <w:rPr>
          <w:sz w:val="22"/>
          <w:szCs w:val="22"/>
          <w:lang w:val="en-US"/>
        </w:rPr>
        <w:t xml:space="preserve"> </w:t>
      </w:r>
      <w:r w:rsidRPr="00C15200">
        <w:rPr>
          <w:rFonts w:eastAsia="Helvetica"/>
          <w:color w:val="000000"/>
          <w:sz w:val="22"/>
          <w:szCs w:val="22"/>
          <w:u w:color="000000"/>
          <w:bdr w:val="nil"/>
          <w:lang w:val="de-DE"/>
        </w:rPr>
        <w:t>Case 287/86, Landsorganisationen i Danmark for Tjenerforbundet</w:t>
      </w:r>
      <w:r w:rsidR="00362531">
        <w:rPr>
          <w:rFonts w:eastAsia="Helvetica"/>
          <w:color w:val="000000"/>
          <w:sz w:val="22"/>
          <w:szCs w:val="22"/>
          <w:u w:color="000000"/>
          <w:bdr w:val="nil"/>
          <w:lang w:val="de-DE"/>
        </w:rPr>
        <w:t xml:space="preserve"> i Danmark v Ny Mølle Kro, par.</w:t>
      </w:r>
      <w:r w:rsidRPr="00C15200">
        <w:rPr>
          <w:rFonts w:eastAsia="Helvetica"/>
          <w:color w:val="000000"/>
          <w:sz w:val="22"/>
          <w:szCs w:val="22"/>
          <w:u w:color="000000"/>
          <w:bdr w:val="nil"/>
          <w:lang w:val="de-DE"/>
        </w:rPr>
        <w:t>16-17</w:t>
      </w:r>
    </w:p>
  </w:footnote>
  <w:footnote w:id="25">
    <w:p w14:paraId="1336F4C4" w14:textId="34D4D698" w:rsidR="009E340C" w:rsidRPr="00532E66" w:rsidRDefault="009E340C">
      <w:pPr>
        <w:pStyle w:val="Voetnoottekst"/>
        <w:rPr>
          <w:sz w:val="22"/>
          <w:szCs w:val="22"/>
          <w:lang w:val="en-US"/>
        </w:rPr>
      </w:pPr>
      <w:r w:rsidRPr="009E34C3">
        <w:rPr>
          <w:rStyle w:val="Voetnootmarkering"/>
          <w:sz w:val="22"/>
          <w:szCs w:val="22"/>
        </w:rPr>
        <w:footnoteRef/>
      </w:r>
      <w:r w:rsidRPr="009E34C3">
        <w:rPr>
          <w:sz w:val="22"/>
          <w:szCs w:val="22"/>
          <w:lang w:val="en-US"/>
        </w:rPr>
        <w:t xml:space="preserve"> C-160/</w:t>
      </w:r>
      <w:r w:rsidRPr="009E34C3">
        <w:rPr>
          <w:rFonts w:eastAsia="Helvetica"/>
          <w:color w:val="000000"/>
          <w:sz w:val="22"/>
          <w:szCs w:val="22"/>
          <w:u w:color="000000"/>
          <w:bdr w:val="nil"/>
          <w:lang w:val="da-DK"/>
        </w:rPr>
        <w:t>14, João Filipe Ferreira da Silva e Brito and Others v Estado português</w:t>
      </w:r>
      <w:r w:rsidR="00362531">
        <w:rPr>
          <w:rFonts w:eastAsia="Helvetica"/>
          <w:color w:val="000000"/>
          <w:sz w:val="22"/>
          <w:szCs w:val="22"/>
          <w:u w:color="000000"/>
          <w:bdr w:val="nil"/>
          <w:lang w:val="da-DK"/>
        </w:rPr>
        <w:t>, par. 9,</w:t>
      </w:r>
      <w:r>
        <w:rPr>
          <w:rFonts w:eastAsia="Helvetica"/>
          <w:color w:val="000000"/>
          <w:sz w:val="22"/>
          <w:szCs w:val="22"/>
          <w:u w:color="000000"/>
          <w:bdr w:val="nil"/>
          <w:lang w:val="da-DK"/>
        </w:rPr>
        <w:t>35.</w:t>
      </w:r>
    </w:p>
  </w:footnote>
  <w:footnote w:id="26">
    <w:p w14:paraId="28DA8101" w14:textId="530C44D4" w:rsidR="009E340C" w:rsidRPr="00C15200" w:rsidRDefault="009E340C" w:rsidP="007A5A4D">
      <w:pPr>
        <w:jc w:val="both"/>
        <w:rPr>
          <w:rFonts w:eastAsia="Helvetica"/>
          <w:color w:val="000000"/>
          <w:sz w:val="22"/>
          <w:szCs w:val="22"/>
          <w:u w:color="000000"/>
          <w:bdr w:val="nil"/>
          <w:lang w:val="en-US"/>
        </w:rPr>
      </w:pPr>
      <w:r w:rsidRPr="00C15200">
        <w:rPr>
          <w:rStyle w:val="Voetnootmarkering"/>
          <w:sz w:val="22"/>
          <w:szCs w:val="22"/>
        </w:rPr>
        <w:footnoteRef/>
      </w:r>
      <w:r w:rsidRPr="00C15200">
        <w:rPr>
          <w:sz w:val="22"/>
          <w:szCs w:val="22"/>
          <w:lang w:val="en-US"/>
        </w:rPr>
        <w:t xml:space="preserve"> </w:t>
      </w:r>
      <w:r w:rsidRPr="00C15200">
        <w:rPr>
          <w:rFonts w:eastAsia="Helvetica"/>
          <w:color w:val="000000"/>
          <w:sz w:val="22"/>
          <w:szCs w:val="22"/>
          <w:u w:color="000000"/>
          <w:bdr w:val="nil"/>
          <w:lang w:val="en-US"/>
        </w:rPr>
        <w:t>Employment Relationship Recommendation, 2006 (No. 198)</w:t>
      </w:r>
      <w:r>
        <w:rPr>
          <w:rFonts w:eastAsia="Helvetica"/>
          <w:color w:val="000000"/>
          <w:sz w:val="22"/>
          <w:szCs w:val="22"/>
          <w:u w:color="000000"/>
          <w:bdr w:val="nil"/>
          <w:lang w:val="en-US"/>
        </w:rPr>
        <w:t xml:space="preserve"> - </w:t>
      </w:r>
      <w:r w:rsidRPr="00C15200">
        <w:rPr>
          <w:rFonts w:eastAsia="Helvetica"/>
          <w:color w:val="000000"/>
          <w:sz w:val="22"/>
          <w:szCs w:val="22"/>
          <w:u w:color="000000"/>
          <w:bdr w:val="nil"/>
          <w:lang w:val="en-US"/>
        </w:rPr>
        <w:t>Recommendation concerning the em</w:t>
      </w:r>
      <w:r>
        <w:rPr>
          <w:rFonts w:eastAsia="Helvetica"/>
          <w:color w:val="000000"/>
          <w:sz w:val="22"/>
          <w:szCs w:val="22"/>
          <w:u w:color="000000"/>
          <w:bdr w:val="nil"/>
          <w:lang w:val="en-US"/>
        </w:rPr>
        <w:t>ployment relationship</w:t>
      </w:r>
      <w:r w:rsidRPr="00C15200">
        <w:rPr>
          <w:rFonts w:eastAsia="Helvetica"/>
          <w:color w:val="000000"/>
          <w:sz w:val="22"/>
          <w:szCs w:val="22"/>
          <w:u w:color="000000"/>
          <w:bdr w:val="nil"/>
          <w:lang w:val="en-US"/>
        </w:rPr>
        <w:t>, pt. 9 and 13(a).</w:t>
      </w:r>
    </w:p>
  </w:footnote>
  <w:footnote w:id="27">
    <w:p w14:paraId="6DECCC59" w14:textId="03FB826C" w:rsidR="009E340C" w:rsidRPr="00C15200" w:rsidRDefault="009E340C" w:rsidP="007A6BD7">
      <w:pPr>
        <w:pStyle w:val="Voetnoottekst"/>
        <w:jc w:val="both"/>
        <w:rPr>
          <w:rFonts w:eastAsia="Helvetica"/>
          <w:color w:val="000000"/>
          <w:sz w:val="22"/>
          <w:szCs w:val="22"/>
          <w:u w:color="000000"/>
          <w:bdr w:val="nil"/>
          <w:lang w:val="en-US"/>
        </w:rPr>
      </w:pPr>
      <w:r w:rsidRPr="00C15200">
        <w:rPr>
          <w:rFonts w:eastAsia="Helvetica"/>
          <w:color w:val="000000"/>
          <w:sz w:val="22"/>
          <w:szCs w:val="22"/>
          <w:u w:color="000000"/>
          <w:bdr w:val="nil"/>
          <w:vertAlign w:val="superscript"/>
          <w:lang w:val="en-US"/>
        </w:rPr>
        <w:footnoteRef/>
      </w:r>
      <w:r w:rsidRPr="00C15200">
        <w:rPr>
          <w:rFonts w:eastAsia="Helvetica"/>
          <w:color w:val="000000"/>
          <w:sz w:val="22"/>
          <w:szCs w:val="22"/>
          <w:u w:color="000000"/>
          <w:bdr w:val="nil"/>
          <w:vertAlign w:val="superscript"/>
          <w:lang w:val="en-US"/>
        </w:rPr>
        <w:t xml:space="preserve"> </w:t>
      </w:r>
      <w:r w:rsidRPr="00C15200">
        <w:rPr>
          <w:rFonts w:eastAsia="Helvetica"/>
          <w:color w:val="000000"/>
          <w:sz w:val="22"/>
          <w:szCs w:val="22"/>
          <w:u w:color="000000"/>
          <w:bdr w:val="nil"/>
          <w:lang w:val="en-US"/>
        </w:rPr>
        <w:t>C-478/03 Celtec Ltd</w:t>
      </w:r>
      <w:r w:rsidR="00362531">
        <w:rPr>
          <w:rFonts w:eastAsia="Helvetica"/>
          <w:color w:val="000000"/>
          <w:sz w:val="22"/>
          <w:szCs w:val="22"/>
          <w:u w:color="000000"/>
          <w:bdr w:val="nil"/>
          <w:lang w:val="en-US"/>
        </w:rPr>
        <w:t xml:space="preserve"> v John Astley and Others, par.</w:t>
      </w:r>
      <w:r w:rsidRPr="00C15200">
        <w:rPr>
          <w:rFonts w:eastAsia="Helvetica"/>
          <w:color w:val="000000"/>
          <w:sz w:val="22"/>
          <w:szCs w:val="22"/>
          <w:u w:color="000000"/>
          <w:bdr w:val="nil"/>
          <w:lang w:val="en-US"/>
        </w:rPr>
        <w:t>44</w:t>
      </w:r>
    </w:p>
  </w:footnote>
  <w:footnote w:id="28">
    <w:p w14:paraId="30685A7C" w14:textId="77777777" w:rsidR="009E340C" w:rsidRPr="00C15200" w:rsidRDefault="009E340C" w:rsidP="007A6BD7">
      <w:pPr>
        <w:pStyle w:val="Voetnoottekst"/>
        <w:jc w:val="both"/>
        <w:rPr>
          <w:rFonts w:eastAsia="Helvetica"/>
          <w:color w:val="000000"/>
          <w:sz w:val="22"/>
          <w:szCs w:val="22"/>
          <w:u w:color="000000"/>
          <w:bdr w:val="nil"/>
          <w:lang w:val="en-US"/>
        </w:rPr>
      </w:pPr>
      <w:r w:rsidRPr="00C15200">
        <w:rPr>
          <w:rFonts w:eastAsia="Helvetica"/>
          <w:color w:val="000000"/>
          <w:sz w:val="22"/>
          <w:szCs w:val="22"/>
          <w:u w:color="000000"/>
          <w:bdr w:val="nil"/>
          <w:vertAlign w:val="superscript"/>
          <w:lang w:val="en-US"/>
        </w:rPr>
        <w:footnoteRef/>
      </w:r>
      <w:r w:rsidRPr="00C15200">
        <w:rPr>
          <w:rFonts w:eastAsia="Helvetica"/>
          <w:color w:val="000000"/>
          <w:sz w:val="22"/>
          <w:szCs w:val="22"/>
          <w:u w:color="000000"/>
          <w:bdr w:val="nil"/>
          <w:vertAlign w:val="superscript"/>
          <w:lang w:val="en-US"/>
        </w:rPr>
        <w:t xml:space="preserve"> </w:t>
      </w:r>
      <w:r w:rsidRPr="00C15200">
        <w:rPr>
          <w:rFonts w:eastAsia="Helvetica"/>
          <w:color w:val="000000"/>
          <w:sz w:val="22"/>
          <w:szCs w:val="22"/>
          <w:u w:color="000000"/>
          <w:bdr w:val="nil"/>
          <w:lang w:val="de-DE"/>
        </w:rPr>
        <w:t>Case 287/86, Landsorganisationen i Danmark for Tjenerforbundet</w:t>
      </w:r>
      <w:r>
        <w:rPr>
          <w:rFonts w:eastAsia="Helvetica"/>
          <w:color w:val="000000"/>
          <w:sz w:val="22"/>
          <w:szCs w:val="22"/>
          <w:u w:color="000000"/>
          <w:bdr w:val="nil"/>
          <w:lang w:val="de-DE"/>
        </w:rPr>
        <w:t xml:space="preserve"> i Danmark v Ny Mølle Kro</w:t>
      </w:r>
      <w:r w:rsidRPr="00C15200">
        <w:rPr>
          <w:rFonts w:eastAsia="Helvetica"/>
          <w:color w:val="000000"/>
          <w:sz w:val="22"/>
          <w:szCs w:val="22"/>
          <w:u w:color="000000"/>
          <w:bdr w:val="nil"/>
          <w:lang w:val="en-US"/>
        </w:rPr>
        <w:t>.</w:t>
      </w:r>
    </w:p>
  </w:footnote>
  <w:footnote w:id="29">
    <w:p w14:paraId="42C610A4" w14:textId="4A6FC96A" w:rsidR="009E340C" w:rsidRPr="00C15200" w:rsidRDefault="009E340C" w:rsidP="007A5A4D">
      <w:pPr>
        <w:pStyle w:val="Voetnoottekst"/>
        <w:jc w:val="both"/>
        <w:rPr>
          <w:rFonts w:eastAsia="Helvetica"/>
          <w:color w:val="000000"/>
          <w:sz w:val="22"/>
          <w:szCs w:val="22"/>
          <w:u w:color="000000"/>
          <w:bdr w:val="nil"/>
          <w:lang w:val="en-US"/>
        </w:rPr>
      </w:pPr>
      <w:r w:rsidRPr="00C15200">
        <w:rPr>
          <w:rFonts w:eastAsia="Helvetica"/>
          <w:color w:val="000000"/>
          <w:sz w:val="22"/>
          <w:szCs w:val="22"/>
          <w:u w:color="000000"/>
          <w:bdr w:val="nil"/>
          <w:vertAlign w:val="superscript"/>
          <w:lang w:val="en-US"/>
        </w:rPr>
        <w:footnoteRef/>
      </w:r>
      <w:r w:rsidRPr="00C15200">
        <w:rPr>
          <w:rFonts w:eastAsia="Helvetica"/>
          <w:color w:val="000000"/>
          <w:sz w:val="22"/>
          <w:szCs w:val="22"/>
          <w:u w:color="000000"/>
          <w:bdr w:val="nil"/>
          <w:vertAlign w:val="superscript"/>
          <w:lang w:val="en-US"/>
        </w:rPr>
        <w:t xml:space="preserve"> </w:t>
      </w:r>
      <w:r w:rsidRPr="00C15200">
        <w:rPr>
          <w:rFonts w:eastAsia="Helvetica"/>
          <w:color w:val="000000"/>
          <w:sz w:val="22"/>
          <w:szCs w:val="22"/>
          <w:u w:color="000000"/>
          <w:bdr w:val="nil"/>
          <w:lang w:val="en-US"/>
        </w:rPr>
        <w:t>C-396/07 Mirj</w:t>
      </w:r>
      <w:r w:rsidR="00362531">
        <w:rPr>
          <w:rFonts w:eastAsia="Helvetica"/>
          <w:color w:val="000000"/>
          <w:sz w:val="22"/>
          <w:szCs w:val="22"/>
          <w:u w:color="000000"/>
          <w:bdr w:val="nil"/>
          <w:lang w:val="en-US"/>
        </w:rPr>
        <w:t>a Juuri v Fazer Amica Oy, par.3</w:t>
      </w:r>
      <w:r w:rsidRPr="00C15200">
        <w:rPr>
          <w:rFonts w:eastAsia="Helvetica"/>
          <w:color w:val="000000"/>
          <w:sz w:val="22"/>
          <w:szCs w:val="22"/>
          <w:u w:color="000000"/>
          <w:bdr w:val="nil"/>
          <w:lang w:val="en-US"/>
        </w:rPr>
        <w:t>4.</w:t>
      </w:r>
    </w:p>
  </w:footnote>
  <w:footnote w:id="30">
    <w:p w14:paraId="377526E5" w14:textId="77777777" w:rsidR="009E340C" w:rsidRPr="00C15200" w:rsidRDefault="009E340C" w:rsidP="007A5A4D">
      <w:pPr>
        <w:pStyle w:val="Voetnoottekst"/>
        <w:jc w:val="both"/>
        <w:rPr>
          <w:rFonts w:eastAsia="Helvetica"/>
          <w:color w:val="000000"/>
          <w:sz w:val="22"/>
          <w:szCs w:val="22"/>
          <w:u w:color="000000"/>
          <w:bdr w:val="nil"/>
          <w:lang w:val="en-US"/>
        </w:rPr>
      </w:pPr>
      <w:r w:rsidRPr="00C15200">
        <w:rPr>
          <w:rFonts w:eastAsia="Helvetica"/>
          <w:color w:val="000000"/>
          <w:sz w:val="22"/>
          <w:szCs w:val="22"/>
          <w:u w:color="000000"/>
          <w:bdr w:val="nil"/>
          <w:vertAlign w:val="superscript"/>
          <w:lang w:val="en-US"/>
        </w:rPr>
        <w:footnoteRef/>
      </w:r>
      <w:r w:rsidRPr="00C15200">
        <w:rPr>
          <w:rFonts w:eastAsia="Helvetica"/>
          <w:color w:val="000000"/>
          <w:sz w:val="22"/>
          <w:szCs w:val="22"/>
          <w:u w:color="000000"/>
          <w:bdr w:val="nil"/>
          <w:vertAlign w:val="superscript"/>
          <w:lang w:val="en-US"/>
        </w:rPr>
        <w:t xml:space="preserve"> </w:t>
      </w:r>
      <w:r w:rsidRPr="00C15200">
        <w:rPr>
          <w:rFonts w:eastAsia="Helvetica"/>
          <w:color w:val="000000"/>
          <w:sz w:val="22"/>
          <w:szCs w:val="22"/>
          <w:u w:color="000000"/>
          <w:bdr w:val="nil"/>
          <w:lang w:val="en-US"/>
        </w:rPr>
        <w:t>C-499/04 Hans Werhof v Freeway Traffic Systems GmbH &amp; Co. KG</w:t>
      </w:r>
    </w:p>
  </w:footnote>
  <w:footnote w:id="31">
    <w:p w14:paraId="2461EED8" w14:textId="7E744FE9" w:rsidR="009E340C" w:rsidRPr="00275954" w:rsidRDefault="009E340C" w:rsidP="00275954">
      <w:pPr>
        <w:rPr>
          <w:rFonts w:eastAsia="Helvetica"/>
          <w:color w:val="000000"/>
          <w:sz w:val="22"/>
          <w:szCs w:val="22"/>
          <w:u w:color="000000"/>
          <w:bdr w:val="nil"/>
          <w:lang w:val="en-US"/>
        </w:rPr>
      </w:pPr>
      <w:r w:rsidRPr="00C15200">
        <w:rPr>
          <w:rFonts w:eastAsia="Helvetica"/>
          <w:color w:val="000000"/>
          <w:sz w:val="22"/>
          <w:szCs w:val="22"/>
          <w:u w:color="000000"/>
          <w:bdr w:val="nil"/>
          <w:vertAlign w:val="superscript"/>
          <w:lang w:val="en-US"/>
        </w:rPr>
        <w:footnoteRef/>
      </w:r>
      <w:r w:rsidRPr="00C15200">
        <w:rPr>
          <w:rFonts w:eastAsia="Helvetica"/>
          <w:color w:val="000000"/>
          <w:sz w:val="22"/>
          <w:szCs w:val="22"/>
          <w:u w:color="000000"/>
          <w:bdr w:val="nil"/>
          <w:vertAlign w:val="superscript"/>
          <w:lang w:val="en-US"/>
        </w:rPr>
        <w:t xml:space="preserve"> </w:t>
      </w:r>
      <w:r w:rsidRPr="00C15200">
        <w:rPr>
          <w:rFonts w:eastAsia="Helvetica"/>
          <w:color w:val="000000"/>
          <w:sz w:val="22"/>
          <w:szCs w:val="22"/>
          <w:u w:color="000000"/>
          <w:bdr w:val="nil"/>
          <w:lang w:val="en-US"/>
        </w:rPr>
        <w:t xml:space="preserve">C-426/11 </w:t>
      </w:r>
      <w:r w:rsidRPr="00275954">
        <w:rPr>
          <w:rFonts w:eastAsia="Helvetica"/>
          <w:color w:val="000000"/>
          <w:sz w:val="22"/>
          <w:szCs w:val="22"/>
          <w:u w:color="000000"/>
          <w:bdr w:val="nil"/>
          <w:lang w:val="en-US"/>
        </w:rPr>
        <w:t>Mark Alemo-Herron and Others v Parkwood Leisure Ltd</w:t>
      </w:r>
    </w:p>
  </w:footnote>
  <w:footnote w:id="32">
    <w:p w14:paraId="5C148B2A" w14:textId="38C05BCB" w:rsidR="009E340C" w:rsidRPr="00201FB4" w:rsidRDefault="009E340C" w:rsidP="00275954">
      <w:pPr>
        <w:rPr>
          <w:rFonts w:eastAsia="Times New Roman"/>
          <w:lang w:val="fr-FR"/>
        </w:rPr>
      </w:pPr>
      <w:r w:rsidRPr="00C15200">
        <w:rPr>
          <w:rFonts w:eastAsia="Helvetica"/>
          <w:color w:val="000000"/>
          <w:sz w:val="22"/>
          <w:szCs w:val="22"/>
          <w:u w:color="000000"/>
          <w:bdr w:val="nil"/>
          <w:vertAlign w:val="superscript"/>
          <w:lang w:val="en-US"/>
        </w:rPr>
        <w:footnoteRef/>
      </w:r>
      <w:r w:rsidRPr="00201FB4">
        <w:rPr>
          <w:rFonts w:eastAsia="Helvetica"/>
          <w:color w:val="000000"/>
          <w:sz w:val="22"/>
          <w:szCs w:val="22"/>
          <w:u w:color="000000"/>
          <w:bdr w:val="nil"/>
          <w:vertAlign w:val="superscript"/>
          <w:lang w:val="fr-FR"/>
        </w:rPr>
        <w:t xml:space="preserve"> </w:t>
      </w:r>
      <w:r w:rsidRPr="00201FB4">
        <w:rPr>
          <w:rFonts w:eastAsia="Helvetica"/>
          <w:i/>
          <w:color w:val="000000"/>
          <w:sz w:val="22"/>
          <w:szCs w:val="22"/>
          <w:u w:color="000000"/>
          <w:bdr w:val="nil"/>
          <w:lang w:val="fr-FR"/>
        </w:rPr>
        <w:t>Ibidem</w:t>
      </w:r>
      <w:r w:rsidR="00362531">
        <w:rPr>
          <w:rFonts w:eastAsia="Helvetica"/>
          <w:color w:val="000000"/>
          <w:sz w:val="22"/>
          <w:szCs w:val="22"/>
          <w:u w:color="000000"/>
          <w:bdr w:val="nil"/>
          <w:lang w:val="fr-FR"/>
        </w:rPr>
        <w:t>, par.</w:t>
      </w:r>
      <w:r w:rsidRPr="00201FB4">
        <w:rPr>
          <w:rFonts w:eastAsia="Helvetica"/>
          <w:color w:val="000000"/>
          <w:sz w:val="22"/>
          <w:szCs w:val="22"/>
          <w:u w:color="000000"/>
          <w:bdr w:val="nil"/>
          <w:lang w:val="fr-FR"/>
        </w:rPr>
        <w:t>25</w:t>
      </w:r>
    </w:p>
  </w:footnote>
  <w:footnote w:id="33">
    <w:p w14:paraId="5EDC3189" w14:textId="053010E0" w:rsidR="009E340C" w:rsidRPr="00201FB4" w:rsidRDefault="009E340C" w:rsidP="000618D4">
      <w:pPr>
        <w:rPr>
          <w:rFonts w:eastAsia="Times New Roman"/>
          <w:lang w:val="fr-FR"/>
        </w:rPr>
      </w:pPr>
      <w:r w:rsidRPr="00C15200">
        <w:rPr>
          <w:rFonts w:eastAsia="Helvetica"/>
          <w:color w:val="000000"/>
          <w:sz w:val="22"/>
          <w:szCs w:val="22"/>
          <w:u w:color="000000"/>
          <w:bdr w:val="nil"/>
          <w:vertAlign w:val="superscript"/>
          <w:lang w:val="en-US"/>
        </w:rPr>
        <w:footnoteRef/>
      </w:r>
      <w:r w:rsidRPr="00201FB4">
        <w:rPr>
          <w:rFonts w:eastAsia="Helvetica"/>
          <w:color w:val="000000"/>
          <w:sz w:val="22"/>
          <w:szCs w:val="22"/>
          <w:u w:color="000000"/>
          <w:bdr w:val="nil"/>
          <w:vertAlign w:val="superscript"/>
          <w:lang w:val="fr-FR"/>
        </w:rPr>
        <w:t xml:space="preserve"> </w:t>
      </w:r>
      <w:r w:rsidRPr="00201FB4">
        <w:rPr>
          <w:rFonts w:eastAsia="Helvetica"/>
          <w:i/>
          <w:color w:val="000000"/>
          <w:sz w:val="22"/>
          <w:szCs w:val="22"/>
          <w:u w:color="000000"/>
          <w:bdr w:val="nil"/>
          <w:lang w:val="fr-FR"/>
        </w:rPr>
        <w:t>Ibidem</w:t>
      </w:r>
      <w:r w:rsidR="00362531">
        <w:rPr>
          <w:rFonts w:eastAsia="Helvetica"/>
          <w:color w:val="000000"/>
          <w:sz w:val="22"/>
          <w:szCs w:val="22"/>
          <w:u w:color="000000"/>
          <w:bdr w:val="nil"/>
          <w:lang w:val="fr-FR"/>
        </w:rPr>
        <w:t>, par.</w:t>
      </w:r>
      <w:r w:rsidRPr="00201FB4">
        <w:rPr>
          <w:rFonts w:eastAsia="Helvetica"/>
          <w:color w:val="000000"/>
          <w:sz w:val="22"/>
          <w:szCs w:val="22"/>
          <w:u w:color="000000"/>
          <w:bdr w:val="nil"/>
          <w:lang w:val="fr-FR"/>
        </w:rPr>
        <w:t>32</w:t>
      </w:r>
    </w:p>
  </w:footnote>
  <w:footnote w:id="34">
    <w:p w14:paraId="77B2BD2D" w14:textId="5B72A5A1" w:rsidR="009E340C" w:rsidRPr="00201FB4" w:rsidRDefault="009E340C" w:rsidP="000618D4">
      <w:pPr>
        <w:rPr>
          <w:rFonts w:eastAsia="Times New Roman"/>
          <w:lang w:val="fr-FR"/>
        </w:rPr>
      </w:pPr>
      <w:r w:rsidRPr="00C15200">
        <w:rPr>
          <w:rFonts w:eastAsia="Helvetica"/>
          <w:color w:val="000000"/>
          <w:sz w:val="22"/>
          <w:szCs w:val="22"/>
          <w:u w:color="000000"/>
          <w:bdr w:val="nil"/>
          <w:vertAlign w:val="superscript"/>
          <w:lang w:val="en-US"/>
        </w:rPr>
        <w:footnoteRef/>
      </w:r>
      <w:r w:rsidRPr="00201FB4">
        <w:rPr>
          <w:rFonts w:eastAsia="Helvetica"/>
          <w:color w:val="000000"/>
          <w:sz w:val="22"/>
          <w:szCs w:val="22"/>
          <w:u w:color="000000"/>
          <w:bdr w:val="nil"/>
          <w:lang w:val="fr-FR"/>
        </w:rPr>
        <w:t xml:space="preserve"> </w:t>
      </w:r>
      <w:r w:rsidRPr="00201FB4">
        <w:rPr>
          <w:rFonts w:eastAsia="Helvetica"/>
          <w:i/>
          <w:color w:val="000000"/>
          <w:sz w:val="22"/>
          <w:szCs w:val="22"/>
          <w:u w:color="000000"/>
          <w:bdr w:val="nil"/>
          <w:lang w:val="fr-FR"/>
        </w:rPr>
        <w:t>Ibidem</w:t>
      </w:r>
      <w:r w:rsidR="00362531">
        <w:rPr>
          <w:rFonts w:eastAsia="Helvetica"/>
          <w:color w:val="000000"/>
          <w:sz w:val="22"/>
          <w:szCs w:val="22"/>
          <w:u w:color="000000"/>
          <w:bdr w:val="nil"/>
          <w:lang w:val="fr-FR"/>
        </w:rPr>
        <w:t>, par.</w:t>
      </w:r>
      <w:r w:rsidRPr="00201FB4">
        <w:rPr>
          <w:rFonts w:eastAsia="Helvetica"/>
          <w:color w:val="000000"/>
          <w:sz w:val="22"/>
          <w:szCs w:val="22"/>
          <w:u w:color="000000"/>
          <w:bdr w:val="nil"/>
          <w:lang w:val="fr-FR"/>
        </w:rPr>
        <w:t>37</w:t>
      </w:r>
    </w:p>
  </w:footnote>
  <w:footnote w:id="35">
    <w:p w14:paraId="6F15A60F" w14:textId="29A4B91C" w:rsidR="009E340C" w:rsidRPr="00A0778E" w:rsidRDefault="009E340C" w:rsidP="007A5A4D">
      <w:pPr>
        <w:pStyle w:val="Voetnoottekst"/>
        <w:jc w:val="both"/>
        <w:rPr>
          <w:sz w:val="22"/>
          <w:szCs w:val="22"/>
          <w:lang w:val="en-US"/>
        </w:rPr>
      </w:pPr>
      <w:r w:rsidRPr="00C15200">
        <w:rPr>
          <w:rStyle w:val="Voetnootmarkering"/>
          <w:sz w:val="22"/>
          <w:szCs w:val="22"/>
        </w:rPr>
        <w:footnoteRef/>
      </w:r>
      <w:r w:rsidRPr="00A0778E">
        <w:rPr>
          <w:sz w:val="22"/>
          <w:szCs w:val="22"/>
          <w:lang w:val="en-US"/>
        </w:rPr>
        <w:t xml:space="preserve"> </w:t>
      </w:r>
      <w:r w:rsidRPr="00C15200">
        <w:rPr>
          <w:rFonts w:eastAsia="Helvetica"/>
          <w:color w:val="000000"/>
          <w:sz w:val="22"/>
          <w:szCs w:val="22"/>
          <w:u w:color="000000"/>
          <w:bdr w:val="nil"/>
          <w:lang w:val="en-US"/>
        </w:rPr>
        <w:t>Age discrimination and older workers: Theory and legislation in comparative context, Naj Ghosheh, International Labour Organization 2008</w:t>
      </w:r>
      <w:r w:rsidR="00362531">
        <w:rPr>
          <w:sz w:val="22"/>
          <w:szCs w:val="22"/>
          <w:lang w:val="en-US"/>
        </w:rPr>
        <w:t>, p.</w:t>
      </w:r>
      <w:r w:rsidRPr="00A0778E">
        <w:rPr>
          <w:sz w:val="22"/>
          <w:szCs w:val="22"/>
          <w:lang w:val="en-US"/>
        </w:rPr>
        <w:t>36.</w:t>
      </w:r>
    </w:p>
  </w:footnote>
  <w:footnote w:id="36">
    <w:p w14:paraId="3383A8F0" w14:textId="0796FCED" w:rsidR="009E340C" w:rsidRPr="00C15200" w:rsidRDefault="009E340C" w:rsidP="00CB250C">
      <w:pPr>
        <w:pStyle w:val="Voetnoottekst"/>
        <w:jc w:val="both"/>
        <w:rPr>
          <w:rFonts w:eastAsia="Helvetica"/>
          <w:color w:val="000000"/>
          <w:sz w:val="22"/>
          <w:szCs w:val="22"/>
          <w:u w:color="000000"/>
          <w:bdr w:val="nil"/>
          <w:lang w:val="en-US"/>
        </w:rPr>
      </w:pPr>
      <w:r w:rsidRPr="00C15200">
        <w:rPr>
          <w:rFonts w:eastAsia="Helvetica"/>
          <w:color w:val="000000"/>
          <w:sz w:val="22"/>
          <w:szCs w:val="22"/>
          <w:u w:color="000000"/>
          <w:bdr w:val="nil"/>
          <w:vertAlign w:val="superscript"/>
          <w:lang w:val="en-US"/>
        </w:rPr>
        <w:footnoteRef/>
      </w:r>
      <w:r w:rsidRPr="00C15200">
        <w:rPr>
          <w:rFonts w:eastAsia="Helvetica"/>
          <w:color w:val="000000"/>
          <w:sz w:val="22"/>
          <w:szCs w:val="22"/>
          <w:u w:color="000000"/>
          <w:bdr w:val="nil"/>
          <w:vertAlign w:val="superscript"/>
          <w:lang w:val="en-US"/>
        </w:rPr>
        <w:t xml:space="preserve"> </w:t>
      </w:r>
      <w:r w:rsidRPr="0005622F">
        <w:rPr>
          <w:rFonts w:eastAsia="Helvetica"/>
          <w:i/>
          <w:color w:val="000000"/>
          <w:sz w:val="22"/>
          <w:szCs w:val="22"/>
          <w:u w:color="000000"/>
          <w:bdr w:val="nil"/>
          <w:lang w:val="en-US"/>
        </w:rPr>
        <w:t>Ibidem</w:t>
      </w:r>
      <w:r w:rsidRPr="00C15200">
        <w:rPr>
          <w:rFonts w:eastAsia="Helvetica"/>
          <w:color w:val="000000"/>
          <w:sz w:val="22"/>
          <w:szCs w:val="22"/>
          <w:u w:color="000000"/>
          <w:bdr w:val="nil"/>
          <w:lang w:val="en-US"/>
        </w:rPr>
        <w:t>, p. 38.</w:t>
      </w:r>
    </w:p>
  </w:footnote>
  <w:footnote w:id="37">
    <w:p w14:paraId="67216146" w14:textId="5A3CAC34" w:rsidR="009E340C" w:rsidRPr="00C15200" w:rsidRDefault="009E340C" w:rsidP="007A5A4D">
      <w:pPr>
        <w:jc w:val="both"/>
        <w:rPr>
          <w:rFonts w:eastAsia="Times New Roman"/>
          <w:sz w:val="22"/>
          <w:szCs w:val="22"/>
          <w:lang w:val="en-US"/>
        </w:rPr>
      </w:pPr>
      <w:r w:rsidRPr="00C15200">
        <w:rPr>
          <w:rStyle w:val="Voetnootmarkering"/>
          <w:sz w:val="22"/>
          <w:szCs w:val="22"/>
        </w:rPr>
        <w:footnoteRef/>
      </w:r>
      <w:r w:rsidRPr="00C15200">
        <w:rPr>
          <w:sz w:val="22"/>
          <w:szCs w:val="22"/>
          <w:lang w:val="en-US"/>
        </w:rPr>
        <w:t xml:space="preserve"> </w:t>
      </w:r>
      <w:r w:rsidRPr="00C15200">
        <w:rPr>
          <w:rFonts w:eastAsia="Helvetica"/>
          <w:color w:val="000000"/>
          <w:sz w:val="22"/>
          <w:szCs w:val="22"/>
          <w:u w:color="000000"/>
          <w:bdr w:val="nil"/>
          <w:lang w:val="en-US"/>
        </w:rPr>
        <w:t>C-229/08, Colin Wolf v Stadt Frankfurt am Main, p</w:t>
      </w:r>
      <w:r>
        <w:rPr>
          <w:rFonts w:eastAsia="Helvetica"/>
          <w:color w:val="000000"/>
          <w:sz w:val="22"/>
          <w:szCs w:val="22"/>
          <w:u w:color="000000"/>
          <w:bdr w:val="nil"/>
          <w:lang w:val="en-US"/>
        </w:rPr>
        <w:t>ar. 41,</w:t>
      </w:r>
      <w:r w:rsidRPr="00C15200">
        <w:rPr>
          <w:rFonts w:eastAsia="Helvetica"/>
          <w:color w:val="000000"/>
          <w:sz w:val="22"/>
          <w:szCs w:val="22"/>
          <w:u w:color="000000"/>
          <w:bdr w:val="nil"/>
          <w:lang w:val="en-US"/>
        </w:rPr>
        <w:t>44.</w:t>
      </w:r>
    </w:p>
  </w:footnote>
  <w:footnote w:id="38">
    <w:p w14:paraId="6AC47F28" w14:textId="47204987" w:rsidR="009E340C" w:rsidRPr="00F51EAA" w:rsidRDefault="009E340C">
      <w:pPr>
        <w:pStyle w:val="Voetnoottekst"/>
        <w:rPr>
          <w:sz w:val="22"/>
          <w:szCs w:val="22"/>
          <w:lang w:val="en-US"/>
        </w:rPr>
      </w:pPr>
      <w:r w:rsidRPr="00F51EAA">
        <w:rPr>
          <w:rStyle w:val="Voetnootmarkering"/>
          <w:sz w:val="22"/>
          <w:szCs w:val="22"/>
        </w:rPr>
        <w:footnoteRef/>
      </w:r>
      <w:r w:rsidRPr="00F51EAA">
        <w:rPr>
          <w:sz w:val="22"/>
          <w:szCs w:val="22"/>
          <w:lang w:val="en-US"/>
        </w:rPr>
        <w:t xml:space="preserve"> C-447/09, Reinhard Prigge, Michael Fromm, Volker Lambach v Deutsche Lufthansa AG, par. 67</w:t>
      </w:r>
    </w:p>
  </w:footnote>
  <w:footnote w:id="39">
    <w:p w14:paraId="28D2E481" w14:textId="18EC2A96" w:rsidR="009E340C" w:rsidRPr="00C85A76" w:rsidRDefault="009E340C" w:rsidP="00A40DF4">
      <w:pPr>
        <w:jc w:val="both"/>
        <w:rPr>
          <w:rFonts w:ascii="Arial" w:eastAsia="Times New Roman" w:hAnsi="Arial" w:cs="Arial"/>
          <w:color w:val="000000"/>
          <w:sz w:val="20"/>
          <w:szCs w:val="20"/>
          <w:lang w:val="en-US"/>
        </w:rPr>
      </w:pPr>
      <w:r w:rsidRPr="00C85A76">
        <w:rPr>
          <w:rStyle w:val="Voetnootmarkering"/>
          <w:sz w:val="22"/>
          <w:szCs w:val="22"/>
        </w:rPr>
        <w:footnoteRef/>
      </w:r>
      <w:r w:rsidRPr="00C85A76">
        <w:rPr>
          <w:sz w:val="22"/>
          <w:szCs w:val="22"/>
          <w:lang w:val="en-US"/>
        </w:rPr>
        <w:t xml:space="preserve"> Healt</w:t>
      </w:r>
      <w:r>
        <w:rPr>
          <w:sz w:val="22"/>
          <w:szCs w:val="22"/>
          <w:lang w:val="en-US"/>
        </w:rPr>
        <w:t>h and Safety Needs for Older Wor</w:t>
      </w:r>
      <w:r w:rsidRPr="00C85A76">
        <w:rPr>
          <w:sz w:val="22"/>
          <w:szCs w:val="22"/>
          <w:lang w:val="en-US"/>
        </w:rPr>
        <w:t>kers</w:t>
      </w:r>
      <w:r>
        <w:rPr>
          <w:sz w:val="22"/>
          <w:szCs w:val="22"/>
          <w:lang w:val="en-US"/>
        </w:rPr>
        <w:t>, National Research Council and Institute of Medicine</w:t>
      </w:r>
      <w:r w:rsidRPr="00C85A76">
        <w:rPr>
          <w:sz w:val="22"/>
          <w:szCs w:val="22"/>
          <w:lang w:val="en-US"/>
        </w:rPr>
        <w:t xml:space="preserve"> Committee on the Health and Safety Needs of Older Workers; Wegman DH, M</w:t>
      </w:r>
      <w:r>
        <w:rPr>
          <w:sz w:val="22"/>
          <w:szCs w:val="22"/>
          <w:lang w:val="en-US"/>
        </w:rPr>
        <w:t>cGee JP, editors. Washington: National Academies Press</w:t>
      </w:r>
      <w:r w:rsidRPr="00C85A76">
        <w:rPr>
          <w:sz w:val="22"/>
          <w:szCs w:val="22"/>
          <w:lang w:val="en-US"/>
        </w:rPr>
        <w:t>; 2004.</w:t>
      </w:r>
    </w:p>
  </w:footnote>
  <w:footnote w:id="40">
    <w:p w14:paraId="6F9AEFDF" w14:textId="56E30967" w:rsidR="009E340C" w:rsidRPr="004713AA" w:rsidRDefault="009E340C" w:rsidP="00D40FC3">
      <w:pPr>
        <w:pStyle w:val="Voetnoottekst"/>
        <w:jc w:val="both"/>
        <w:rPr>
          <w:sz w:val="22"/>
          <w:szCs w:val="22"/>
          <w:lang w:val="en-US"/>
        </w:rPr>
      </w:pPr>
      <w:r w:rsidRPr="004713AA">
        <w:rPr>
          <w:rStyle w:val="Voetnootmarkering"/>
          <w:sz w:val="22"/>
          <w:szCs w:val="22"/>
        </w:rPr>
        <w:footnoteRef/>
      </w:r>
      <w:r w:rsidRPr="004713AA">
        <w:rPr>
          <w:sz w:val="22"/>
          <w:szCs w:val="22"/>
          <w:lang w:val="en-US"/>
        </w:rPr>
        <w:t xml:space="preserve"> Age discrimination and European Law, Colm O’Cinneide, European </w:t>
      </w:r>
      <w:r w:rsidR="00362531">
        <w:rPr>
          <w:sz w:val="22"/>
          <w:szCs w:val="22"/>
          <w:lang w:val="en-US"/>
        </w:rPr>
        <w:t>Commission 2005, p.</w:t>
      </w:r>
      <w:r w:rsidRPr="004713AA">
        <w:rPr>
          <w:sz w:val="22"/>
          <w:szCs w:val="22"/>
          <w:lang w:val="en-US"/>
        </w:rPr>
        <w:t>35.</w:t>
      </w:r>
    </w:p>
  </w:footnote>
  <w:footnote w:id="41">
    <w:p w14:paraId="4D9EAD45" w14:textId="348D467A" w:rsidR="009E340C" w:rsidRPr="00B53E0E" w:rsidRDefault="009E340C" w:rsidP="00D40FC3">
      <w:pPr>
        <w:jc w:val="both"/>
        <w:rPr>
          <w:rFonts w:eastAsia="Times New Roman"/>
          <w:sz w:val="22"/>
          <w:szCs w:val="22"/>
          <w:lang w:val="en-US"/>
        </w:rPr>
      </w:pPr>
      <w:r w:rsidRPr="00B53E0E">
        <w:rPr>
          <w:rStyle w:val="Voetnootmarkering"/>
          <w:sz w:val="22"/>
          <w:szCs w:val="22"/>
        </w:rPr>
        <w:footnoteRef/>
      </w:r>
      <w:r w:rsidRPr="00B53E0E">
        <w:rPr>
          <w:sz w:val="22"/>
          <w:szCs w:val="22"/>
          <w:lang w:val="en-US"/>
        </w:rPr>
        <w:t xml:space="preserve"> </w:t>
      </w:r>
      <w:r w:rsidRPr="00B53E0E">
        <w:rPr>
          <w:rFonts w:eastAsia="Helvetica"/>
          <w:color w:val="000000"/>
          <w:sz w:val="22"/>
          <w:szCs w:val="22"/>
          <w:u w:color="000000"/>
          <w:bdr w:val="nil"/>
          <w:lang w:val="en-US"/>
        </w:rPr>
        <w:t xml:space="preserve">C-45/09, </w:t>
      </w:r>
      <w:r w:rsidRPr="00B53E0E">
        <w:rPr>
          <w:rFonts w:eastAsia="Times New Roman"/>
          <w:bCs/>
          <w:color w:val="333333"/>
          <w:sz w:val="22"/>
          <w:szCs w:val="22"/>
          <w:lang w:val="en-US"/>
        </w:rPr>
        <w:t>Gisela Rosenbladt v Oellerking Gebäudereinigungsges. mbH</w:t>
      </w:r>
      <w:r w:rsidR="00362531">
        <w:rPr>
          <w:rFonts w:eastAsia="Helvetica"/>
          <w:color w:val="000000"/>
          <w:sz w:val="22"/>
          <w:szCs w:val="22"/>
          <w:u w:color="000000"/>
          <w:bdr w:val="nil"/>
          <w:lang w:val="en-US"/>
        </w:rPr>
        <w:t>, par.</w:t>
      </w:r>
      <w:r w:rsidRPr="00B53E0E">
        <w:rPr>
          <w:rFonts w:eastAsia="Helvetica"/>
          <w:color w:val="000000"/>
          <w:sz w:val="22"/>
          <w:szCs w:val="22"/>
          <w:u w:color="000000"/>
          <w:bdr w:val="nil"/>
          <w:lang w:val="en-US"/>
        </w:rPr>
        <w:t>43.</w:t>
      </w:r>
    </w:p>
  </w:footnote>
  <w:footnote w:id="42">
    <w:p w14:paraId="3E799B28" w14:textId="5C421B00" w:rsidR="009E340C" w:rsidRPr="007C5299" w:rsidRDefault="009E340C">
      <w:pPr>
        <w:pStyle w:val="Voetnoottekst"/>
        <w:rPr>
          <w:sz w:val="22"/>
          <w:szCs w:val="22"/>
          <w:lang w:val="en-US"/>
        </w:rPr>
      </w:pPr>
      <w:r w:rsidRPr="007C5299">
        <w:rPr>
          <w:rStyle w:val="Voetnootmarkering"/>
          <w:sz w:val="22"/>
          <w:szCs w:val="22"/>
        </w:rPr>
        <w:footnoteRef/>
      </w:r>
      <w:r w:rsidRPr="007C5299">
        <w:rPr>
          <w:sz w:val="22"/>
          <w:szCs w:val="22"/>
          <w:lang w:val="en-US"/>
        </w:rPr>
        <w:t xml:space="preserve"> Tourism in Hungary 2016 Report, Hungarian Tourism Agency, </w:t>
      </w:r>
      <w:hyperlink r:id="rId1" w:history="1">
        <w:r w:rsidRPr="007C5299">
          <w:rPr>
            <w:rStyle w:val="Hyperlink"/>
            <w:sz w:val="22"/>
            <w:szCs w:val="22"/>
            <w:lang w:val="en-US"/>
          </w:rPr>
          <w:t>http://szakmai.itthon.hu/documents/28123/4083489/MTE_4001_105x210_LA4_StatElozetes_2016_ENG_NEW.pdf/db033798-0c79-4c38-8d7a-38c44a72c45f</w:t>
        </w:r>
      </w:hyperlink>
      <w:r w:rsidR="00362531">
        <w:rPr>
          <w:sz w:val="22"/>
          <w:szCs w:val="22"/>
          <w:lang w:val="en-US"/>
        </w:rPr>
        <w:t>, p.</w:t>
      </w:r>
      <w:r w:rsidRPr="007C5299">
        <w:rPr>
          <w:sz w:val="22"/>
          <w:szCs w:val="22"/>
          <w:lang w:val="en-US"/>
        </w:rPr>
        <w:t xml:space="preserve">5. </w:t>
      </w:r>
    </w:p>
  </w:footnote>
  <w:footnote w:id="43">
    <w:p w14:paraId="1685D8BB" w14:textId="48CC5CFE" w:rsidR="009E340C" w:rsidRPr="00A0053A" w:rsidRDefault="009E340C">
      <w:pPr>
        <w:pStyle w:val="Voetnoottekst"/>
        <w:rPr>
          <w:sz w:val="22"/>
          <w:szCs w:val="22"/>
          <w:lang w:val="en-US"/>
        </w:rPr>
      </w:pPr>
      <w:r w:rsidRPr="007C5299">
        <w:rPr>
          <w:rStyle w:val="Voetnootmarkering"/>
          <w:sz w:val="22"/>
          <w:szCs w:val="22"/>
        </w:rPr>
        <w:footnoteRef/>
      </w:r>
      <w:r w:rsidRPr="00A0053A">
        <w:rPr>
          <w:sz w:val="22"/>
          <w:szCs w:val="22"/>
          <w:lang w:val="en-US"/>
        </w:rPr>
        <w:t xml:space="preserve"> </w:t>
      </w:r>
      <w:r w:rsidRPr="00A0053A">
        <w:rPr>
          <w:i/>
          <w:sz w:val="22"/>
          <w:szCs w:val="22"/>
          <w:lang w:val="en-US"/>
        </w:rPr>
        <w:t>Ibidem</w:t>
      </w:r>
      <w:r w:rsidR="00362531">
        <w:rPr>
          <w:sz w:val="22"/>
          <w:szCs w:val="22"/>
          <w:lang w:val="en-US"/>
        </w:rPr>
        <w:t>, p.</w:t>
      </w:r>
      <w:r w:rsidRPr="00A0053A">
        <w:rPr>
          <w:sz w:val="22"/>
          <w:szCs w:val="22"/>
          <w:lang w:val="en-US"/>
        </w:rPr>
        <w:t>9.</w:t>
      </w:r>
    </w:p>
  </w:footnote>
  <w:footnote w:id="44">
    <w:p w14:paraId="38D5B85C" w14:textId="258000E1" w:rsidR="009E340C" w:rsidRPr="00B2140C" w:rsidRDefault="009E340C" w:rsidP="001064E5">
      <w:pPr>
        <w:pStyle w:val="Kop1"/>
        <w:spacing w:before="0" w:beforeAutospacing="0" w:after="105" w:afterAutospacing="0"/>
        <w:rPr>
          <w:rFonts w:ascii="Arial" w:eastAsia="Times New Roman" w:hAnsi="Arial" w:cs="Arial"/>
          <w:b w:val="0"/>
          <w:bCs w:val="0"/>
          <w:color w:val="2873E6"/>
          <w:sz w:val="22"/>
          <w:szCs w:val="22"/>
          <w:lang w:val="en-US"/>
        </w:rPr>
      </w:pPr>
      <w:r w:rsidRPr="007C5299">
        <w:rPr>
          <w:rStyle w:val="Voetnootmarkering"/>
          <w:b w:val="0"/>
          <w:bCs w:val="0"/>
          <w:kern w:val="0"/>
          <w:sz w:val="22"/>
          <w:szCs w:val="22"/>
        </w:rPr>
        <w:footnoteRef/>
      </w:r>
      <w:r w:rsidRPr="007C5299">
        <w:rPr>
          <w:rStyle w:val="Voetnootmarkering"/>
          <w:b w:val="0"/>
          <w:bCs w:val="0"/>
          <w:kern w:val="0"/>
          <w:sz w:val="22"/>
          <w:szCs w:val="22"/>
          <w:lang w:val="en-US"/>
        </w:rPr>
        <w:t xml:space="preserve"> </w:t>
      </w:r>
      <w:r w:rsidRPr="007C5299">
        <w:rPr>
          <w:b w:val="0"/>
          <w:bCs w:val="0"/>
          <w:kern w:val="0"/>
          <w:sz w:val="22"/>
          <w:szCs w:val="22"/>
          <w:lang w:val="en-US"/>
        </w:rPr>
        <w:t xml:space="preserve">Foreign language skills statistics, Eurostat data, October 2015, </w:t>
      </w:r>
      <w:hyperlink r:id="rId2" w:history="1">
        <w:r w:rsidRPr="00B2140C">
          <w:rPr>
            <w:rStyle w:val="Hyperlink"/>
            <w:b w:val="0"/>
            <w:bCs w:val="0"/>
            <w:kern w:val="0"/>
            <w:sz w:val="22"/>
            <w:szCs w:val="22"/>
            <w:lang w:val="en-US"/>
          </w:rPr>
          <w:t>http://ec.europa.eu/eurostat/statistics-explained/index.php/Foreign_language_skills_statistics</w:t>
        </w:r>
      </w:hyperlink>
      <w:r w:rsidRPr="00B2140C">
        <w:rPr>
          <w:b w:val="0"/>
          <w:bCs w:val="0"/>
          <w:kern w:val="0"/>
          <w:sz w:val="22"/>
          <w:szCs w:val="22"/>
          <w:lang w:val="en-US"/>
        </w:rPr>
        <w:t xml:space="preserve">. </w:t>
      </w:r>
    </w:p>
  </w:footnote>
  <w:footnote w:id="45">
    <w:p w14:paraId="3D4ED0DD" w14:textId="1D5D8E54" w:rsidR="009E340C" w:rsidRPr="00B2140C" w:rsidRDefault="009E340C" w:rsidP="00B2140C">
      <w:pPr>
        <w:rPr>
          <w:rFonts w:eastAsia="Times New Roman"/>
          <w:lang w:val="en-US"/>
        </w:rPr>
      </w:pPr>
      <w:r w:rsidRPr="00B2140C">
        <w:rPr>
          <w:rStyle w:val="Voetnootmarkering"/>
          <w:sz w:val="22"/>
          <w:szCs w:val="22"/>
        </w:rPr>
        <w:footnoteRef/>
      </w:r>
      <w:r w:rsidRPr="00B2140C">
        <w:rPr>
          <w:sz w:val="22"/>
          <w:szCs w:val="22"/>
          <w:lang w:val="en-US"/>
        </w:rPr>
        <w:t xml:space="preserve"> Case 248/83, </w:t>
      </w:r>
      <w:r w:rsidRPr="00B2140C">
        <w:rPr>
          <w:bCs/>
          <w:sz w:val="22"/>
          <w:szCs w:val="22"/>
          <w:lang w:val="en-US"/>
        </w:rPr>
        <w:t>Commission of the European Communities v Fe</w:t>
      </w:r>
      <w:r w:rsidR="00362531">
        <w:rPr>
          <w:bCs/>
          <w:sz w:val="22"/>
          <w:szCs w:val="22"/>
          <w:lang w:val="en-US"/>
        </w:rPr>
        <w:t>deral Republic of Germany, par.</w:t>
      </w:r>
      <w:r w:rsidRPr="00B2140C">
        <w:rPr>
          <w:bCs/>
          <w:sz w:val="22"/>
          <w:szCs w:val="22"/>
          <w:lang w:val="en-US"/>
        </w:rPr>
        <w:t>34.</w:t>
      </w:r>
    </w:p>
  </w:footnote>
  <w:footnote w:id="46">
    <w:p w14:paraId="4AD936F4" w14:textId="10B6FB7D" w:rsidR="009E340C" w:rsidRPr="00A073D2" w:rsidRDefault="009E340C">
      <w:pPr>
        <w:pStyle w:val="Voetnoottekst"/>
        <w:rPr>
          <w:sz w:val="22"/>
          <w:szCs w:val="22"/>
          <w:lang w:val="en-US"/>
        </w:rPr>
      </w:pPr>
      <w:r w:rsidRPr="00A073D2">
        <w:rPr>
          <w:rStyle w:val="Voetnootmarkering"/>
          <w:sz w:val="22"/>
          <w:szCs w:val="22"/>
        </w:rPr>
        <w:footnoteRef/>
      </w:r>
      <w:r w:rsidRPr="00A073D2">
        <w:rPr>
          <w:sz w:val="22"/>
          <w:szCs w:val="22"/>
          <w:lang w:val="en-US"/>
        </w:rPr>
        <w:t xml:space="preserve"> Handbook on European non-discrimination law</w:t>
      </w:r>
      <w:r>
        <w:rPr>
          <w:sz w:val="22"/>
          <w:szCs w:val="22"/>
          <w:lang w:val="en-US"/>
        </w:rPr>
        <w:t>,</w:t>
      </w:r>
      <w:r w:rsidRPr="00A073D2">
        <w:rPr>
          <w:sz w:val="22"/>
          <w:szCs w:val="22"/>
          <w:lang w:val="en-US"/>
        </w:rPr>
        <w:t xml:space="preserve"> </w:t>
      </w:r>
      <w:r>
        <w:rPr>
          <w:sz w:val="22"/>
          <w:szCs w:val="22"/>
          <w:lang w:val="en-US"/>
        </w:rPr>
        <w:t>Publications Office</w:t>
      </w:r>
      <w:r w:rsidR="00362531">
        <w:rPr>
          <w:sz w:val="22"/>
          <w:szCs w:val="22"/>
          <w:lang w:val="en-US"/>
        </w:rPr>
        <w:t xml:space="preserve"> of the European Union 2011, p.</w:t>
      </w:r>
      <w:r>
        <w:rPr>
          <w:sz w:val="22"/>
          <w:szCs w:val="22"/>
          <w:lang w:val="en-US"/>
        </w:rPr>
        <w:t>47.</w:t>
      </w:r>
    </w:p>
  </w:footnote>
  <w:footnote w:id="47">
    <w:p w14:paraId="4C9E74AB" w14:textId="406F0EB5" w:rsidR="009E340C" w:rsidRPr="00FE2A4F" w:rsidRDefault="009E340C">
      <w:pPr>
        <w:pStyle w:val="Voetnoottekst"/>
        <w:rPr>
          <w:sz w:val="22"/>
          <w:szCs w:val="22"/>
          <w:lang w:val="en-US"/>
        </w:rPr>
      </w:pPr>
      <w:r w:rsidRPr="00FE2A4F">
        <w:rPr>
          <w:rStyle w:val="Voetnootmarkering"/>
          <w:sz w:val="22"/>
          <w:szCs w:val="22"/>
        </w:rPr>
        <w:footnoteRef/>
      </w:r>
      <w:r w:rsidRPr="00FE2A4F">
        <w:rPr>
          <w:sz w:val="22"/>
          <w:szCs w:val="22"/>
          <w:lang w:val="en-US"/>
        </w:rPr>
        <w:t xml:space="preserve"> Ray Williams, </w:t>
      </w:r>
      <w:r w:rsidRPr="005B15C5">
        <w:rPr>
          <w:i/>
          <w:sz w:val="22"/>
          <w:szCs w:val="22"/>
          <w:lang w:val="en-US"/>
        </w:rPr>
        <w:t>Why we pay more attention to beautiful people</w:t>
      </w:r>
      <w:r w:rsidRPr="00FE2A4F">
        <w:rPr>
          <w:sz w:val="22"/>
          <w:szCs w:val="22"/>
          <w:lang w:val="en-US"/>
        </w:rPr>
        <w:t xml:space="preserve">, </w:t>
      </w:r>
      <w:r>
        <w:rPr>
          <w:sz w:val="22"/>
          <w:szCs w:val="22"/>
          <w:lang w:val="en-US"/>
        </w:rPr>
        <w:t xml:space="preserve">06.08.2011, </w:t>
      </w:r>
      <w:hyperlink r:id="rId3" w:history="1">
        <w:r w:rsidRPr="00FE2A4F">
          <w:rPr>
            <w:rStyle w:val="Hyperlink"/>
            <w:sz w:val="22"/>
            <w:szCs w:val="22"/>
            <w:lang w:val="en-US"/>
          </w:rPr>
          <w:t>https://www.psychologytoday.com/blog/wired-success/201108/why-we-pay-more-attention-beautiful-people</w:t>
        </w:r>
      </w:hyperlink>
      <w:r>
        <w:rPr>
          <w:sz w:val="22"/>
          <w:szCs w:val="22"/>
          <w:lang w:val="en-US"/>
        </w:rPr>
        <w:t>.</w:t>
      </w:r>
    </w:p>
  </w:footnote>
  <w:footnote w:id="48">
    <w:p w14:paraId="310CAFAE" w14:textId="01052885" w:rsidR="009E340C" w:rsidRPr="00E45593" w:rsidRDefault="009E340C">
      <w:pPr>
        <w:pStyle w:val="Voetnoottekst"/>
        <w:rPr>
          <w:sz w:val="22"/>
          <w:szCs w:val="22"/>
          <w:lang w:val="en-US"/>
        </w:rPr>
      </w:pPr>
      <w:r w:rsidRPr="00E45593">
        <w:rPr>
          <w:rStyle w:val="Voetnootmarkering"/>
          <w:sz w:val="22"/>
          <w:szCs w:val="22"/>
        </w:rPr>
        <w:footnoteRef/>
      </w:r>
      <w:r w:rsidRPr="00E45593">
        <w:rPr>
          <w:sz w:val="22"/>
          <w:szCs w:val="22"/>
          <w:lang w:val="en-US"/>
        </w:rPr>
        <w:t xml:space="preserve"> Kate Devlin, </w:t>
      </w:r>
      <w:r w:rsidRPr="005B15C5">
        <w:rPr>
          <w:i/>
          <w:sz w:val="22"/>
          <w:szCs w:val="22"/>
          <w:lang w:val="en-US"/>
        </w:rPr>
        <w:t>Humans ‘naturally prefer pretty people’</w:t>
      </w:r>
      <w:r>
        <w:rPr>
          <w:sz w:val="22"/>
          <w:szCs w:val="22"/>
          <w:lang w:val="en-US"/>
        </w:rPr>
        <w:t>, 13.</w:t>
      </w:r>
      <w:r w:rsidRPr="00E45593">
        <w:rPr>
          <w:sz w:val="22"/>
          <w:szCs w:val="22"/>
          <w:lang w:val="en-US"/>
        </w:rPr>
        <w:t>08</w:t>
      </w:r>
      <w:r>
        <w:rPr>
          <w:sz w:val="22"/>
          <w:szCs w:val="22"/>
          <w:lang w:val="en-US"/>
        </w:rPr>
        <w:t>.</w:t>
      </w:r>
      <w:r w:rsidRPr="00E45593">
        <w:rPr>
          <w:sz w:val="22"/>
          <w:szCs w:val="22"/>
          <w:lang w:val="en-US"/>
        </w:rPr>
        <w:t xml:space="preserve">2008, </w:t>
      </w:r>
      <w:hyperlink r:id="rId4" w:history="1">
        <w:r w:rsidRPr="00E45593">
          <w:rPr>
            <w:rStyle w:val="Hyperlink"/>
            <w:sz w:val="22"/>
            <w:szCs w:val="22"/>
            <w:lang w:val="en-US"/>
          </w:rPr>
          <w:t>http://www.telegraph.co.uk/news/uknews/2551882/Humans-naturally-prefer-pretty-people.html</w:t>
        </w:r>
      </w:hyperlink>
      <w:r>
        <w:rPr>
          <w:sz w:val="22"/>
          <w:szCs w:val="22"/>
          <w:lang w:val="en-US"/>
        </w:rPr>
        <w:t>.</w:t>
      </w:r>
    </w:p>
  </w:footnote>
  <w:footnote w:id="49">
    <w:p w14:paraId="0267A5AD" w14:textId="39AA945D" w:rsidR="009E340C" w:rsidRPr="005B15C5" w:rsidRDefault="009E340C" w:rsidP="005B15C5">
      <w:pPr>
        <w:rPr>
          <w:rFonts w:eastAsia="Times New Roman"/>
          <w:sz w:val="22"/>
          <w:szCs w:val="22"/>
          <w:lang w:val="en-US"/>
        </w:rPr>
      </w:pPr>
      <w:r w:rsidRPr="005B15C5">
        <w:rPr>
          <w:rStyle w:val="Voetnootmarkering"/>
          <w:sz w:val="22"/>
          <w:szCs w:val="22"/>
        </w:rPr>
        <w:footnoteRef/>
      </w:r>
      <w:r w:rsidRPr="005B15C5">
        <w:rPr>
          <w:sz w:val="22"/>
          <w:szCs w:val="22"/>
          <w:lang w:val="en-US"/>
        </w:rPr>
        <w:t xml:space="preserve"> Alan Feingold, </w:t>
      </w:r>
      <w:r w:rsidRPr="005B15C5">
        <w:rPr>
          <w:i/>
          <w:sz w:val="22"/>
          <w:szCs w:val="22"/>
          <w:lang w:val="en-US"/>
        </w:rPr>
        <w:t>Good-looking people are not what we think</w:t>
      </w:r>
      <w:r w:rsidRPr="005B15C5">
        <w:rPr>
          <w:sz w:val="22"/>
          <w:szCs w:val="22"/>
          <w:lang w:val="en-US"/>
        </w:rPr>
        <w:t>, Psychological Bul</w:t>
      </w:r>
      <w:r w:rsidR="00362531">
        <w:rPr>
          <w:sz w:val="22"/>
          <w:szCs w:val="22"/>
          <w:lang w:val="en-US"/>
        </w:rPr>
        <w:t>letin, Vol 111(2), Mar 1992, p.</w:t>
      </w:r>
      <w:r w:rsidRPr="005B15C5">
        <w:rPr>
          <w:sz w:val="22"/>
          <w:szCs w:val="22"/>
          <w:lang w:val="en-US"/>
        </w:rPr>
        <w:t>304-341.</w:t>
      </w:r>
    </w:p>
  </w:footnote>
  <w:footnote w:id="50">
    <w:p w14:paraId="306EF694" w14:textId="07802573" w:rsidR="009E340C" w:rsidRPr="00E348AF" w:rsidRDefault="009E340C" w:rsidP="00B309AA">
      <w:pPr>
        <w:pStyle w:val="Voetnoottekst"/>
        <w:jc w:val="both"/>
        <w:rPr>
          <w:lang w:val="en-US"/>
        </w:rPr>
      </w:pPr>
      <w:r w:rsidRPr="00E348AF">
        <w:rPr>
          <w:rStyle w:val="Voetnootmarkering"/>
          <w:sz w:val="22"/>
          <w:szCs w:val="22"/>
        </w:rPr>
        <w:footnoteRef/>
      </w:r>
      <w:r w:rsidRPr="00E348AF">
        <w:rPr>
          <w:sz w:val="22"/>
          <w:szCs w:val="22"/>
          <w:lang w:val="en-US"/>
        </w:rPr>
        <w:t xml:space="preserve"> </w:t>
      </w:r>
      <w:r w:rsidRPr="00E348AF">
        <w:rPr>
          <w:rFonts w:eastAsia="Helvetica"/>
          <w:color w:val="000000"/>
          <w:sz w:val="22"/>
          <w:szCs w:val="22"/>
          <w:u w:color="000000"/>
          <w:bdr w:val="nil"/>
          <w:lang w:val="en-US"/>
        </w:rPr>
        <w:t xml:space="preserve">More equal than others: distinguishing European Union Equality Directives, Lisa Waddington and Mark Bell, </w:t>
      </w:r>
      <w:r w:rsidRPr="005B15C5">
        <w:rPr>
          <w:rFonts w:eastAsia="Helvetica"/>
          <w:color w:val="000000"/>
          <w:sz w:val="22"/>
          <w:szCs w:val="22"/>
          <w:u w:color="000000"/>
          <w:bdr w:val="nil"/>
          <w:lang w:val="en-US"/>
        </w:rPr>
        <w:t>Common</w:t>
      </w:r>
      <w:r w:rsidR="00695EF7">
        <w:rPr>
          <w:rFonts w:eastAsia="Helvetica"/>
          <w:color w:val="000000"/>
          <w:sz w:val="22"/>
          <w:szCs w:val="22"/>
          <w:u w:color="000000"/>
          <w:bdr w:val="nil"/>
          <w:lang w:val="en-US"/>
        </w:rPr>
        <w:t xml:space="preserve"> Market Law Review 2001, p.</w:t>
      </w:r>
      <w:r w:rsidRPr="00E348AF">
        <w:rPr>
          <w:rFonts w:eastAsia="Helvetica"/>
          <w:color w:val="000000"/>
          <w:sz w:val="22"/>
          <w:szCs w:val="22"/>
          <w:u w:color="000000"/>
          <w:bdr w:val="nil"/>
          <w:lang w:val="en-US"/>
        </w:rPr>
        <w:t>599.</w:t>
      </w:r>
    </w:p>
  </w:footnote>
  <w:footnote w:id="51">
    <w:p w14:paraId="2BF6551F" w14:textId="17BF74BA" w:rsidR="009E340C" w:rsidRPr="007C5299" w:rsidRDefault="009E340C" w:rsidP="00B309AA">
      <w:pPr>
        <w:pStyle w:val="Voetnoottekst"/>
        <w:jc w:val="both"/>
        <w:rPr>
          <w:sz w:val="22"/>
          <w:szCs w:val="22"/>
          <w:lang w:val="en-US"/>
        </w:rPr>
      </w:pPr>
      <w:r w:rsidRPr="00896CAA">
        <w:rPr>
          <w:rStyle w:val="Voetnootmarkering"/>
          <w:sz w:val="22"/>
          <w:szCs w:val="22"/>
        </w:rPr>
        <w:footnoteRef/>
      </w:r>
      <w:r w:rsidRPr="00896CAA">
        <w:rPr>
          <w:sz w:val="22"/>
          <w:szCs w:val="22"/>
          <w:lang w:val="en-US"/>
        </w:rPr>
        <w:t xml:space="preserve"> EU Anti-Discrimination Law, Evelyn Ellis and Philippa Watson, O</w:t>
      </w:r>
      <w:r w:rsidR="00695EF7">
        <w:rPr>
          <w:sz w:val="22"/>
          <w:szCs w:val="22"/>
          <w:lang w:val="en-US"/>
        </w:rPr>
        <w:t>xford University Press 2014, p.</w:t>
      </w:r>
      <w:r w:rsidRPr="007C5299">
        <w:rPr>
          <w:sz w:val="22"/>
          <w:szCs w:val="22"/>
          <w:lang w:val="en-US"/>
        </w:rPr>
        <w:t>409.</w:t>
      </w:r>
    </w:p>
  </w:footnote>
  <w:footnote w:id="52">
    <w:p w14:paraId="242C596F" w14:textId="77777777" w:rsidR="009E340C" w:rsidRPr="007C5299" w:rsidRDefault="009E340C" w:rsidP="003D535B">
      <w:pPr>
        <w:pStyle w:val="Voetnoottekst"/>
        <w:jc w:val="both"/>
        <w:rPr>
          <w:sz w:val="22"/>
          <w:szCs w:val="22"/>
          <w:lang w:val="en-US"/>
        </w:rPr>
      </w:pPr>
      <w:r w:rsidRPr="007C5299">
        <w:rPr>
          <w:rStyle w:val="Voetnootmarkering"/>
          <w:sz w:val="22"/>
          <w:szCs w:val="22"/>
        </w:rPr>
        <w:footnoteRef/>
      </w:r>
      <w:r w:rsidRPr="007C5299">
        <w:rPr>
          <w:sz w:val="22"/>
          <w:szCs w:val="22"/>
          <w:lang w:val="en-US"/>
        </w:rPr>
        <w:t xml:space="preserve"> Communication from the Commission to the European Parliament, the Council, the European Economic and Social Committee and the Committee of the Regions “Investing in Europe’s Youth”, Brussels, 7.12.2016.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21A3" w14:textId="77777777" w:rsidR="009E340C" w:rsidRDefault="009E34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822E57E"/>
    <w:name w:val="WW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ascii="Times New Roman" w:hAnsi="Times New Roman" w:cs="Times New Roman" w:hint="default"/>
        <w:b/>
        <w:sz w:val="24"/>
        <w:szCs w:val="24"/>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D"/>
    <w:multiLevelType w:val="multilevel"/>
    <w:tmpl w:val="0000000D"/>
    <w:name w:val="WW8Num15"/>
    <w:lvl w:ilvl="0">
      <w:start w:val="1"/>
      <w:numFmt w:val="bullet"/>
      <w:lvlText w:val=""/>
      <w:lvlJc w:val="left"/>
      <w:pPr>
        <w:tabs>
          <w:tab w:val="num" w:pos="0"/>
        </w:tabs>
        <w:ind w:left="720" w:hanging="360"/>
      </w:pPr>
      <w:rPr>
        <w:rFonts w:ascii="Wingdings" w:hAnsi="Wingdings" w:cs="Times New Roman"/>
        <w:lang w:val="en-U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6F57CF"/>
    <w:multiLevelType w:val="hybridMultilevel"/>
    <w:tmpl w:val="F2683D4C"/>
    <w:lvl w:ilvl="0" w:tplc="04150009">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5583FCE"/>
    <w:multiLevelType w:val="hybridMultilevel"/>
    <w:tmpl w:val="1CB6DB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C32B8A"/>
    <w:multiLevelType w:val="hybridMultilevel"/>
    <w:tmpl w:val="2B141166"/>
    <w:lvl w:ilvl="0" w:tplc="04150001">
      <w:start w:val="1"/>
      <w:numFmt w:val="bullet"/>
      <w:lvlText w:val=""/>
      <w:lvlJc w:val="left"/>
      <w:pPr>
        <w:ind w:left="2793" w:hanging="360"/>
      </w:pPr>
      <w:rPr>
        <w:rFonts w:ascii="Symbol" w:hAnsi="Symbol" w:hint="default"/>
      </w:rPr>
    </w:lvl>
    <w:lvl w:ilvl="1" w:tplc="04150003" w:tentative="1">
      <w:start w:val="1"/>
      <w:numFmt w:val="bullet"/>
      <w:lvlText w:val="o"/>
      <w:lvlJc w:val="left"/>
      <w:pPr>
        <w:ind w:left="3513" w:hanging="360"/>
      </w:pPr>
      <w:rPr>
        <w:rFonts w:ascii="Courier New" w:hAnsi="Courier New" w:cs="Courier New" w:hint="default"/>
      </w:rPr>
    </w:lvl>
    <w:lvl w:ilvl="2" w:tplc="04150005" w:tentative="1">
      <w:start w:val="1"/>
      <w:numFmt w:val="bullet"/>
      <w:lvlText w:val=""/>
      <w:lvlJc w:val="left"/>
      <w:pPr>
        <w:ind w:left="4233" w:hanging="360"/>
      </w:pPr>
      <w:rPr>
        <w:rFonts w:ascii="Wingdings" w:hAnsi="Wingdings" w:hint="default"/>
      </w:rPr>
    </w:lvl>
    <w:lvl w:ilvl="3" w:tplc="04150001" w:tentative="1">
      <w:start w:val="1"/>
      <w:numFmt w:val="bullet"/>
      <w:lvlText w:val=""/>
      <w:lvlJc w:val="left"/>
      <w:pPr>
        <w:ind w:left="4953" w:hanging="360"/>
      </w:pPr>
      <w:rPr>
        <w:rFonts w:ascii="Symbol" w:hAnsi="Symbol" w:hint="default"/>
      </w:rPr>
    </w:lvl>
    <w:lvl w:ilvl="4" w:tplc="04150003" w:tentative="1">
      <w:start w:val="1"/>
      <w:numFmt w:val="bullet"/>
      <w:lvlText w:val="o"/>
      <w:lvlJc w:val="left"/>
      <w:pPr>
        <w:ind w:left="5673" w:hanging="360"/>
      </w:pPr>
      <w:rPr>
        <w:rFonts w:ascii="Courier New" w:hAnsi="Courier New" w:cs="Courier New" w:hint="default"/>
      </w:rPr>
    </w:lvl>
    <w:lvl w:ilvl="5" w:tplc="04150005" w:tentative="1">
      <w:start w:val="1"/>
      <w:numFmt w:val="bullet"/>
      <w:lvlText w:val=""/>
      <w:lvlJc w:val="left"/>
      <w:pPr>
        <w:ind w:left="6393" w:hanging="360"/>
      </w:pPr>
      <w:rPr>
        <w:rFonts w:ascii="Wingdings" w:hAnsi="Wingdings" w:hint="default"/>
      </w:rPr>
    </w:lvl>
    <w:lvl w:ilvl="6" w:tplc="04150001" w:tentative="1">
      <w:start w:val="1"/>
      <w:numFmt w:val="bullet"/>
      <w:lvlText w:val=""/>
      <w:lvlJc w:val="left"/>
      <w:pPr>
        <w:ind w:left="7113" w:hanging="360"/>
      </w:pPr>
      <w:rPr>
        <w:rFonts w:ascii="Symbol" w:hAnsi="Symbol" w:hint="default"/>
      </w:rPr>
    </w:lvl>
    <w:lvl w:ilvl="7" w:tplc="04150003" w:tentative="1">
      <w:start w:val="1"/>
      <w:numFmt w:val="bullet"/>
      <w:lvlText w:val="o"/>
      <w:lvlJc w:val="left"/>
      <w:pPr>
        <w:ind w:left="7833" w:hanging="360"/>
      </w:pPr>
      <w:rPr>
        <w:rFonts w:ascii="Courier New" w:hAnsi="Courier New" w:cs="Courier New" w:hint="default"/>
      </w:rPr>
    </w:lvl>
    <w:lvl w:ilvl="8" w:tplc="04150005" w:tentative="1">
      <w:start w:val="1"/>
      <w:numFmt w:val="bullet"/>
      <w:lvlText w:val=""/>
      <w:lvlJc w:val="left"/>
      <w:pPr>
        <w:ind w:left="8553" w:hanging="360"/>
      </w:pPr>
      <w:rPr>
        <w:rFonts w:ascii="Wingdings" w:hAnsi="Wingdings" w:hint="default"/>
      </w:rPr>
    </w:lvl>
  </w:abstractNum>
  <w:abstractNum w:abstractNumId="5" w15:restartNumberingAfterBreak="0">
    <w:nsid w:val="0F137A85"/>
    <w:multiLevelType w:val="hybridMultilevel"/>
    <w:tmpl w:val="393865D8"/>
    <w:lvl w:ilvl="0" w:tplc="BAAAB0E6">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A0EB4"/>
    <w:multiLevelType w:val="multilevel"/>
    <w:tmpl w:val="8D0ED8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417D12"/>
    <w:multiLevelType w:val="multilevel"/>
    <w:tmpl w:val="ED30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F1CA2"/>
    <w:multiLevelType w:val="hybridMultilevel"/>
    <w:tmpl w:val="3230B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D5F4A"/>
    <w:multiLevelType w:val="hybridMultilevel"/>
    <w:tmpl w:val="AE047AF0"/>
    <w:lvl w:ilvl="0" w:tplc="CF20B2BA">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BAAAB0E6">
      <w:start w:val="1"/>
      <w:numFmt w:val="lowerLetter"/>
      <w:lvlText w:val="%3)"/>
      <w:lvlJc w:val="left"/>
      <w:pPr>
        <w:ind w:left="1069"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8519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314DCA"/>
    <w:multiLevelType w:val="hybridMultilevel"/>
    <w:tmpl w:val="25E2B136"/>
    <w:lvl w:ilvl="0" w:tplc="8D24117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75348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421FDD"/>
    <w:multiLevelType w:val="hybridMultilevel"/>
    <w:tmpl w:val="0476717A"/>
    <w:lvl w:ilvl="0" w:tplc="CF20B2BA">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729AF"/>
    <w:multiLevelType w:val="hybridMultilevel"/>
    <w:tmpl w:val="49F4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E9519C"/>
    <w:multiLevelType w:val="hybridMultilevel"/>
    <w:tmpl w:val="EE84F142"/>
    <w:lvl w:ilvl="0" w:tplc="B6B0363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62703F4"/>
    <w:multiLevelType w:val="hybridMultilevel"/>
    <w:tmpl w:val="77A6A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332095"/>
    <w:multiLevelType w:val="hybridMultilevel"/>
    <w:tmpl w:val="0476717A"/>
    <w:lvl w:ilvl="0" w:tplc="CF20B2BA">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964E12"/>
    <w:multiLevelType w:val="hybridMultilevel"/>
    <w:tmpl w:val="1658AC4A"/>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01045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441054"/>
    <w:multiLevelType w:val="hybridMultilevel"/>
    <w:tmpl w:val="4C8022AE"/>
    <w:lvl w:ilvl="0" w:tplc="04150001">
      <w:start w:val="1"/>
      <w:numFmt w:val="bullet"/>
      <w:lvlText w:val=""/>
      <w:lvlJc w:val="left"/>
      <w:pPr>
        <w:ind w:left="2793" w:hanging="360"/>
      </w:pPr>
      <w:rPr>
        <w:rFonts w:ascii="Symbol" w:hAnsi="Symbol" w:hint="default"/>
      </w:rPr>
    </w:lvl>
    <w:lvl w:ilvl="1" w:tplc="04150003" w:tentative="1">
      <w:start w:val="1"/>
      <w:numFmt w:val="bullet"/>
      <w:lvlText w:val="o"/>
      <w:lvlJc w:val="left"/>
      <w:pPr>
        <w:ind w:left="3513" w:hanging="360"/>
      </w:pPr>
      <w:rPr>
        <w:rFonts w:ascii="Courier New" w:hAnsi="Courier New" w:cs="Courier New" w:hint="default"/>
      </w:rPr>
    </w:lvl>
    <w:lvl w:ilvl="2" w:tplc="04150005" w:tentative="1">
      <w:start w:val="1"/>
      <w:numFmt w:val="bullet"/>
      <w:lvlText w:val=""/>
      <w:lvlJc w:val="left"/>
      <w:pPr>
        <w:ind w:left="4233" w:hanging="360"/>
      </w:pPr>
      <w:rPr>
        <w:rFonts w:ascii="Wingdings" w:hAnsi="Wingdings" w:hint="default"/>
      </w:rPr>
    </w:lvl>
    <w:lvl w:ilvl="3" w:tplc="04150001" w:tentative="1">
      <w:start w:val="1"/>
      <w:numFmt w:val="bullet"/>
      <w:lvlText w:val=""/>
      <w:lvlJc w:val="left"/>
      <w:pPr>
        <w:ind w:left="4953" w:hanging="360"/>
      </w:pPr>
      <w:rPr>
        <w:rFonts w:ascii="Symbol" w:hAnsi="Symbol" w:hint="default"/>
      </w:rPr>
    </w:lvl>
    <w:lvl w:ilvl="4" w:tplc="04150003" w:tentative="1">
      <w:start w:val="1"/>
      <w:numFmt w:val="bullet"/>
      <w:lvlText w:val="o"/>
      <w:lvlJc w:val="left"/>
      <w:pPr>
        <w:ind w:left="5673" w:hanging="360"/>
      </w:pPr>
      <w:rPr>
        <w:rFonts w:ascii="Courier New" w:hAnsi="Courier New" w:cs="Courier New" w:hint="default"/>
      </w:rPr>
    </w:lvl>
    <w:lvl w:ilvl="5" w:tplc="04150005" w:tentative="1">
      <w:start w:val="1"/>
      <w:numFmt w:val="bullet"/>
      <w:lvlText w:val=""/>
      <w:lvlJc w:val="left"/>
      <w:pPr>
        <w:ind w:left="6393" w:hanging="360"/>
      </w:pPr>
      <w:rPr>
        <w:rFonts w:ascii="Wingdings" w:hAnsi="Wingdings" w:hint="default"/>
      </w:rPr>
    </w:lvl>
    <w:lvl w:ilvl="6" w:tplc="04150001" w:tentative="1">
      <w:start w:val="1"/>
      <w:numFmt w:val="bullet"/>
      <w:lvlText w:val=""/>
      <w:lvlJc w:val="left"/>
      <w:pPr>
        <w:ind w:left="7113" w:hanging="360"/>
      </w:pPr>
      <w:rPr>
        <w:rFonts w:ascii="Symbol" w:hAnsi="Symbol" w:hint="default"/>
      </w:rPr>
    </w:lvl>
    <w:lvl w:ilvl="7" w:tplc="04150003" w:tentative="1">
      <w:start w:val="1"/>
      <w:numFmt w:val="bullet"/>
      <w:lvlText w:val="o"/>
      <w:lvlJc w:val="left"/>
      <w:pPr>
        <w:ind w:left="7833" w:hanging="360"/>
      </w:pPr>
      <w:rPr>
        <w:rFonts w:ascii="Courier New" w:hAnsi="Courier New" w:cs="Courier New" w:hint="default"/>
      </w:rPr>
    </w:lvl>
    <w:lvl w:ilvl="8" w:tplc="04150005" w:tentative="1">
      <w:start w:val="1"/>
      <w:numFmt w:val="bullet"/>
      <w:lvlText w:val=""/>
      <w:lvlJc w:val="left"/>
      <w:pPr>
        <w:ind w:left="8553" w:hanging="360"/>
      </w:pPr>
      <w:rPr>
        <w:rFonts w:ascii="Wingdings" w:hAnsi="Wingdings" w:hint="default"/>
      </w:rPr>
    </w:lvl>
  </w:abstractNum>
  <w:abstractNum w:abstractNumId="21" w15:restartNumberingAfterBreak="0">
    <w:nsid w:val="5A430428"/>
    <w:multiLevelType w:val="multilevel"/>
    <w:tmpl w:val="8D0ED8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2055AC"/>
    <w:multiLevelType w:val="hybridMultilevel"/>
    <w:tmpl w:val="E7FC4E9C"/>
    <w:lvl w:ilvl="0" w:tplc="04150009">
      <w:start w:val="1"/>
      <w:numFmt w:val="bullet"/>
      <w:lvlText w:val=""/>
      <w:lvlJc w:val="left"/>
      <w:pPr>
        <w:ind w:left="2073" w:hanging="360"/>
      </w:pPr>
      <w:rPr>
        <w:rFonts w:ascii="Wingdings" w:hAnsi="Wingdings"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3" w15:restartNumberingAfterBreak="0">
    <w:nsid w:val="5D5B2597"/>
    <w:multiLevelType w:val="hybridMultilevel"/>
    <w:tmpl w:val="85046964"/>
    <w:lvl w:ilvl="0" w:tplc="CF20B2BA">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BAAAB0E6">
      <w:start w:val="1"/>
      <w:numFmt w:val="lowerLetter"/>
      <w:lvlText w:val="%3)"/>
      <w:lvlJc w:val="left"/>
      <w:pPr>
        <w:ind w:left="1069" w:hanging="360"/>
      </w:pPr>
      <w:rPr>
        <w:rFonts w:hint="default"/>
      </w:rPr>
    </w:lvl>
    <w:lvl w:ilvl="3" w:tplc="0415000F" w:tentative="1">
      <w:start w:val="1"/>
      <w:numFmt w:val="decimal"/>
      <w:lvlText w:val="%4."/>
      <w:lvlJc w:val="left"/>
      <w:pPr>
        <w:ind w:left="2880" w:hanging="360"/>
      </w:pPr>
    </w:lvl>
    <w:lvl w:ilvl="4" w:tplc="6406C894">
      <w:start w:val="36"/>
      <w:numFmt w:val="bullet"/>
      <w:lvlText w:val="-"/>
      <w:lvlJc w:val="left"/>
      <w:pPr>
        <w:ind w:left="1778" w:hanging="360"/>
      </w:pPr>
      <w:rPr>
        <w:rFonts w:ascii="Times New Roman" w:eastAsiaTheme="minorHAnsi"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D833A9"/>
    <w:multiLevelType w:val="multilevel"/>
    <w:tmpl w:val="4A72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93C07"/>
    <w:multiLevelType w:val="hybridMultilevel"/>
    <w:tmpl w:val="E5A0B642"/>
    <w:lvl w:ilvl="0" w:tplc="7A48BC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E00EFA"/>
    <w:multiLevelType w:val="hybridMultilevel"/>
    <w:tmpl w:val="3C6ED5F4"/>
    <w:lvl w:ilvl="0" w:tplc="B38C79DA">
      <w:start w:val="1"/>
      <w:numFmt w:val="lowerLetter"/>
      <w:lvlText w:val="%1)"/>
      <w:lvlJc w:val="left"/>
      <w:pPr>
        <w:ind w:left="1160" w:hanging="4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E47753D"/>
    <w:multiLevelType w:val="multilevel"/>
    <w:tmpl w:val="BE94B420"/>
    <w:lvl w:ilvl="0">
      <w:start w:val="1"/>
      <w:numFmt w:val="decimal"/>
      <w:pStyle w:val="Kop3"/>
      <w:lvlText w:val="%1."/>
      <w:lvlJc w:val="left"/>
      <w:pPr>
        <w:ind w:left="720" w:hanging="360"/>
      </w:pPr>
      <w:rPr>
        <w:rFonts w:hint="default"/>
      </w:rPr>
    </w:lvl>
    <w:lvl w:ilvl="1">
      <w:start w:val="1"/>
      <w:numFmt w:val="decimal"/>
      <w:pStyle w:val="Kop4"/>
      <w:isLgl/>
      <w:lvlText w:val="%1.%2"/>
      <w:lvlJc w:val="left"/>
      <w:pPr>
        <w:ind w:left="720" w:hanging="360"/>
      </w:pPr>
      <w:rPr>
        <w:rFonts w:ascii="Times New Roman" w:hAnsi="Times New Roman" w:cs="Times New Roman" w:hint="default"/>
        <w:b/>
      </w:rPr>
    </w:lvl>
    <w:lvl w:ilvl="2">
      <w:start w:val="1"/>
      <w:numFmt w:val="decimal"/>
      <w:pStyle w:val="Kop5"/>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6DB0AB3"/>
    <w:multiLevelType w:val="multilevel"/>
    <w:tmpl w:val="5C64F8DE"/>
    <w:lvl w:ilvl="0">
      <w:start w:val="1"/>
      <w:numFmt w:val="decimal"/>
      <w:lvlText w:val="%1."/>
      <w:lvlJc w:val="left"/>
      <w:pPr>
        <w:ind w:left="720" w:hanging="360"/>
      </w:pPr>
      <w:rPr>
        <w:rFonts w:hint="default"/>
        <w:b/>
        <w:i w:val="0"/>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29" w15:restartNumberingAfterBreak="0">
    <w:nsid w:val="7C2319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3"/>
  </w:num>
  <w:num w:numId="3">
    <w:abstractNumId w:val="14"/>
  </w:num>
  <w:num w:numId="4">
    <w:abstractNumId w:val="0"/>
  </w:num>
  <w:num w:numId="5">
    <w:abstractNumId w:val="16"/>
  </w:num>
  <w:num w:numId="6">
    <w:abstractNumId w:val="27"/>
    <w:lvlOverride w:ilvl="0">
      <w:startOverride w:val="1"/>
    </w:lvlOverride>
  </w:num>
  <w:num w:numId="7">
    <w:abstractNumId w:val="8"/>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7"/>
  </w:num>
  <w:num w:numId="11">
    <w:abstractNumId w:val="6"/>
  </w:num>
  <w:num w:numId="12">
    <w:abstractNumId w:val="27"/>
  </w:num>
  <w:num w:numId="13">
    <w:abstractNumId w:val="21"/>
  </w:num>
  <w:num w:numId="14">
    <w:abstractNumId w:val="25"/>
  </w:num>
  <w:num w:numId="15">
    <w:abstractNumId w:val="28"/>
  </w:num>
  <w:num w:numId="16">
    <w:abstractNumId w:val="29"/>
  </w:num>
  <w:num w:numId="17">
    <w:abstractNumId w:val="19"/>
  </w:num>
  <w:num w:numId="18">
    <w:abstractNumId w:val="10"/>
  </w:num>
  <w:num w:numId="19">
    <w:abstractNumId w:val="12"/>
  </w:num>
  <w:num w:numId="20">
    <w:abstractNumId w:val="27"/>
  </w:num>
  <w:num w:numId="21">
    <w:abstractNumId w:val="27"/>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13"/>
  </w:num>
  <w:num w:numId="34">
    <w:abstractNumId w:val="24"/>
  </w:num>
  <w:num w:numId="35">
    <w:abstractNumId w:val="7"/>
  </w:num>
  <w:num w:numId="36">
    <w:abstractNumId w:val="9"/>
  </w:num>
  <w:num w:numId="37">
    <w:abstractNumId w:val="17"/>
  </w:num>
  <w:num w:numId="38">
    <w:abstractNumId w:val="5"/>
  </w:num>
  <w:num w:numId="39">
    <w:abstractNumId w:val="22"/>
  </w:num>
  <w:num w:numId="40">
    <w:abstractNumId w:val="11"/>
  </w:num>
  <w:num w:numId="41">
    <w:abstractNumId w:val="15"/>
  </w:num>
  <w:num w:numId="42">
    <w:abstractNumId w:val="2"/>
  </w:num>
  <w:num w:numId="43">
    <w:abstractNumId w:val="4"/>
  </w:num>
  <w:num w:numId="44">
    <w:abstractNumId w:val="20"/>
  </w:num>
  <w:num w:numId="45">
    <w:abstractNumId w:val="1"/>
  </w:num>
  <w:num w:numId="46">
    <w:abstractNumId w:val="26"/>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17"/>
    <w:rsid w:val="00000F84"/>
    <w:rsid w:val="00004A9E"/>
    <w:rsid w:val="00007269"/>
    <w:rsid w:val="00007F7C"/>
    <w:rsid w:val="00011E2C"/>
    <w:rsid w:val="00013ACF"/>
    <w:rsid w:val="00014F54"/>
    <w:rsid w:val="00017933"/>
    <w:rsid w:val="000179E0"/>
    <w:rsid w:val="00024AC8"/>
    <w:rsid w:val="00024B9B"/>
    <w:rsid w:val="000255BD"/>
    <w:rsid w:val="00025D5E"/>
    <w:rsid w:val="00027A07"/>
    <w:rsid w:val="000317C2"/>
    <w:rsid w:val="000336F8"/>
    <w:rsid w:val="000356B1"/>
    <w:rsid w:val="00037554"/>
    <w:rsid w:val="000400D2"/>
    <w:rsid w:val="00044C43"/>
    <w:rsid w:val="00051A85"/>
    <w:rsid w:val="0005261F"/>
    <w:rsid w:val="00052CA1"/>
    <w:rsid w:val="0005403C"/>
    <w:rsid w:val="00054D89"/>
    <w:rsid w:val="0005622F"/>
    <w:rsid w:val="00057D8F"/>
    <w:rsid w:val="000618D4"/>
    <w:rsid w:val="000618DB"/>
    <w:rsid w:val="000641CF"/>
    <w:rsid w:val="00070DD3"/>
    <w:rsid w:val="00074106"/>
    <w:rsid w:val="00075627"/>
    <w:rsid w:val="00077617"/>
    <w:rsid w:val="00077F78"/>
    <w:rsid w:val="000810DC"/>
    <w:rsid w:val="00082AE2"/>
    <w:rsid w:val="00083F78"/>
    <w:rsid w:val="00083F98"/>
    <w:rsid w:val="00084325"/>
    <w:rsid w:val="000858B7"/>
    <w:rsid w:val="00087B41"/>
    <w:rsid w:val="00094E96"/>
    <w:rsid w:val="00094F8D"/>
    <w:rsid w:val="00097140"/>
    <w:rsid w:val="000A483F"/>
    <w:rsid w:val="000A5062"/>
    <w:rsid w:val="000A54D4"/>
    <w:rsid w:val="000A664B"/>
    <w:rsid w:val="000A7DE2"/>
    <w:rsid w:val="000B21C7"/>
    <w:rsid w:val="000B3229"/>
    <w:rsid w:val="000B6326"/>
    <w:rsid w:val="000C0118"/>
    <w:rsid w:val="000C0A81"/>
    <w:rsid w:val="000C14C2"/>
    <w:rsid w:val="000C24C7"/>
    <w:rsid w:val="000C2B9F"/>
    <w:rsid w:val="000C353B"/>
    <w:rsid w:val="000D2F48"/>
    <w:rsid w:val="000E1B02"/>
    <w:rsid w:val="000E28C7"/>
    <w:rsid w:val="000E62B2"/>
    <w:rsid w:val="000E74D2"/>
    <w:rsid w:val="000E7E06"/>
    <w:rsid w:val="000F2170"/>
    <w:rsid w:val="000F4427"/>
    <w:rsid w:val="000F573D"/>
    <w:rsid w:val="000F6BF3"/>
    <w:rsid w:val="000F714F"/>
    <w:rsid w:val="000F76EA"/>
    <w:rsid w:val="000F7F45"/>
    <w:rsid w:val="00101070"/>
    <w:rsid w:val="001028E1"/>
    <w:rsid w:val="001034BA"/>
    <w:rsid w:val="00103836"/>
    <w:rsid w:val="001052F5"/>
    <w:rsid w:val="001064E5"/>
    <w:rsid w:val="00112D44"/>
    <w:rsid w:val="00113DC7"/>
    <w:rsid w:val="001157F7"/>
    <w:rsid w:val="00121C90"/>
    <w:rsid w:val="001233E6"/>
    <w:rsid w:val="001266D5"/>
    <w:rsid w:val="00126CA2"/>
    <w:rsid w:val="001277EF"/>
    <w:rsid w:val="00130BF5"/>
    <w:rsid w:val="00130F20"/>
    <w:rsid w:val="00132DEC"/>
    <w:rsid w:val="00133AE7"/>
    <w:rsid w:val="001347DC"/>
    <w:rsid w:val="001378F6"/>
    <w:rsid w:val="0014257B"/>
    <w:rsid w:val="0014784E"/>
    <w:rsid w:val="0014797E"/>
    <w:rsid w:val="00152B9A"/>
    <w:rsid w:val="00152F98"/>
    <w:rsid w:val="00154433"/>
    <w:rsid w:val="001549B8"/>
    <w:rsid w:val="00156091"/>
    <w:rsid w:val="00160C57"/>
    <w:rsid w:val="00170063"/>
    <w:rsid w:val="0017231C"/>
    <w:rsid w:val="00172DC6"/>
    <w:rsid w:val="001749C9"/>
    <w:rsid w:val="0017654A"/>
    <w:rsid w:val="00181964"/>
    <w:rsid w:val="00183965"/>
    <w:rsid w:val="001851E6"/>
    <w:rsid w:val="0019292B"/>
    <w:rsid w:val="00197440"/>
    <w:rsid w:val="001979B2"/>
    <w:rsid w:val="001A2BFF"/>
    <w:rsid w:val="001A4AEA"/>
    <w:rsid w:val="001A60C5"/>
    <w:rsid w:val="001B1966"/>
    <w:rsid w:val="001B22D1"/>
    <w:rsid w:val="001B2ACC"/>
    <w:rsid w:val="001B3B54"/>
    <w:rsid w:val="001B3C29"/>
    <w:rsid w:val="001B3ED2"/>
    <w:rsid w:val="001B609F"/>
    <w:rsid w:val="001B76A5"/>
    <w:rsid w:val="001C0228"/>
    <w:rsid w:val="001C0A47"/>
    <w:rsid w:val="001C0EF1"/>
    <w:rsid w:val="001C27CE"/>
    <w:rsid w:val="001C4628"/>
    <w:rsid w:val="001C522F"/>
    <w:rsid w:val="001C6AF4"/>
    <w:rsid w:val="001D0EA7"/>
    <w:rsid w:val="001D6616"/>
    <w:rsid w:val="001D73F0"/>
    <w:rsid w:val="001D761B"/>
    <w:rsid w:val="001E322F"/>
    <w:rsid w:val="001E4233"/>
    <w:rsid w:val="001E685C"/>
    <w:rsid w:val="001E6D90"/>
    <w:rsid w:val="001F1AC5"/>
    <w:rsid w:val="001F2A31"/>
    <w:rsid w:val="001F4A12"/>
    <w:rsid w:val="00201FB4"/>
    <w:rsid w:val="0020398A"/>
    <w:rsid w:val="00204F41"/>
    <w:rsid w:val="00206260"/>
    <w:rsid w:val="00207B38"/>
    <w:rsid w:val="00212656"/>
    <w:rsid w:val="00212923"/>
    <w:rsid w:val="00213944"/>
    <w:rsid w:val="00214CC1"/>
    <w:rsid w:val="00214D76"/>
    <w:rsid w:val="0021706B"/>
    <w:rsid w:val="002209D3"/>
    <w:rsid w:val="00220E38"/>
    <w:rsid w:val="00221031"/>
    <w:rsid w:val="002223DA"/>
    <w:rsid w:val="00223BC2"/>
    <w:rsid w:val="00224891"/>
    <w:rsid w:val="00226B3A"/>
    <w:rsid w:val="0023207A"/>
    <w:rsid w:val="00233431"/>
    <w:rsid w:val="00233687"/>
    <w:rsid w:val="002350C8"/>
    <w:rsid w:val="00235D6C"/>
    <w:rsid w:val="00235EB1"/>
    <w:rsid w:val="00237256"/>
    <w:rsid w:val="00240105"/>
    <w:rsid w:val="002406BC"/>
    <w:rsid w:val="002415DE"/>
    <w:rsid w:val="00245627"/>
    <w:rsid w:val="00251852"/>
    <w:rsid w:val="002527F3"/>
    <w:rsid w:val="002530FA"/>
    <w:rsid w:val="00263B7B"/>
    <w:rsid w:val="002648F6"/>
    <w:rsid w:val="00264C1C"/>
    <w:rsid w:val="0026509C"/>
    <w:rsid w:val="00266C58"/>
    <w:rsid w:val="00267F1B"/>
    <w:rsid w:val="00270B86"/>
    <w:rsid w:val="00271A1C"/>
    <w:rsid w:val="00274EFC"/>
    <w:rsid w:val="00275954"/>
    <w:rsid w:val="00277168"/>
    <w:rsid w:val="00282383"/>
    <w:rsid w:val="0028653A"/>
    <w:rsid w:val="00287E57"/>
    <w:rsid w:val="00290E11"/>
    <w:rsid w:val="00291086"/>
    <w:rsid w:val="00291B48"/>
    <w:rsid w:val="002926A6"/>
    <w:rsid w:val="002928D9"/>
    <w:rsid w:val="00294258"/>
    <w:rsid w:val="00294308"/>
    <w:rsid w:val="00296ABA"/>
    <w:rsid w:val="00297097"/>
    <w:rsid w:val="00297E83"/>
    <w:rsid w:val="002A0173"/>
    <w:rsid w:val="002A1831"/>
    <w:rsid w:val="002A25B1"/>
    <w:rsid w:val="002A48AE"/>
    <w:rsid w:val="002A53F0"/>
    <w:rsid w:val="002B02EB"/>
    <w:rsid w:val="002B100B"/>
    <w:rsid w:val="002B3ACB"/>
    <w:rsid w:val="002C32E2"/>
    <w:rsid w:val="002C3715"/>
    <w:rsid w:val="002C615B"/>
    <w:rsid w:val="002D05C9"/>
    <w:rsid w:val="002D0997"/>
    <w:rsid w:val="002D0E35"/>
    <w:rsid w:val="002E2A3D"/>
    <w:rsid w:val="002E33DF"/>
    <w:rsid w:val="002E77AE"/>
    <w:rsid w:val="002F05CE"/>
    <w:rsid w:val="002F4E7E"/>
    <w:rsid w:val="002F5F8D"/>
    <w:rsid w:val="002F739B"/>
    <w:rsid w:val="002F7540"/>
    <w:rsid w:val="00301304"/>
    <w:rsid w:val="00302D03"/>
    <w:rsid w:val="003033D9"/>
    <w:rsid w:val="003042BE"/>
    <w:rsid w:val="00305C76"/>
    <w:rsid w:val="00310EDE"/>
    <w:rsid w:val="0031186F"/>
    <w:rsid w:val="003123E2"/>
    <w:rsid w:val="003133B4"/>
    <w:rsid w:val="00315A6A"/>
    <w:rsid w:val="00317814"/>
    <w:rsid w:val="00323614"/>
    <w:rsid w:val="003278B3"/>
    <w:rsid w:val="00327ED1"/>
    <w:rsid w:val="003300A9"/>
    <w:rsid w:val="00333EE6"/>
    <w:rsid w:val="00333FFD"/>
    <w:rsid w:val="00335C89"/>
    <w:rsid w:val="00336EF2"/>
    <w:rsid w:val="00336F3A"/>
    <w:rsid w:val="00337BEC"/>
    <w:rsid w:val="00337F3F"/>
    <w:rsid w:val="0034255E"/>
    <w:rsid w:val="0034271F"/>
    <w:rsid w:val="0034288A"/>
    <w:rsid w:val="00344ED9"/>
    <w:rsid w:val="003455F9"/>
    <w:rsid w:val="0034664D"/>
    <w:rsid w:val="00347662"/>
    <w:rsid w:val="0035077B"/>
    <w:rsid w:val="0035152D"/>
    <w:rsid w:val="00352E06"/>
    <w:rsid w:val="00353202"/>
    <w:rsid w:val="00357643"/>
    <w:rsid w:val="00357E88"/>
    <w:rsid w:val="003607E6"/>
    <w:rsid w:val="00362531"/>
    <w:rsid w:val="00366398"/>
    <w:rsid w:val="00366B13"/>
    <w:rsid w:val="00372875"/>
    <w:rsid w:val="00373B71"/>
    <w:rsid w:val="003747CA"/>
    <w:rsid w:val="00374F91"/>
    <w:rsid w:val="00376D4A"/>
    <w:rsid w:val="00377A93"/>
    <w:rsid w:val="00381080"/>
    <w:rsid w:val="00384B88"/>
    <w:rsid w:val="00387E77"/>
    <w:rsid w:val="00390E97"/>
    <w:rsid w:val="003926D7"/>
    <w:rsid w:val="003A1BA8"/>
    <w:rsid w:val="003A2BC9"/>
    <w:rsid w:val="003A3FC5"/>
    <w:rsid w:val="003A6CC8"/>
    <w:rsid w:val="003B3684"/>
    <w:rsid w:val="003B451A"/>
    <w:rsid w:val="003B5614"/>
    <w:rsid w:val="003B6BC3"/>
    <w:rsid w:val="003C3050"/>
    <w:rsid w:val="003C44DC"/>
    <w:rsid w:val="003D07E0"/>
    <w:rsid w:val="003D3D11"/>
    <w:rsid w:val="003D535B"/>
    <w:rsid w:val="003D59DC"/>
    <w:rsid w:val="003D63FD"/>
    <w:rsid w:val="003E3285"/>
    <w:rsid w:val="003E5238"/>
    <w:rsid w:val="003E537F"/>
    <w:rsid w:val="003E58D5"/>
    <w:rsid w:val="003E6048"/>
    <w:rsid w:val="003F1DA1"/>
    <w:rsid w:val="003F7CD0"/>
    <w:rsid w:val="004012A4"/>
    <w:rsid w:val="0040268E"/>
    <w:rsid w:val="00402A65"/>
    <w:rsid w:val="00406774"/>
    <w:rsid w:val="0040784A"/>
    <w:rsid w:val="004162C9"/>
    <w:rsid w:val="00422358"/>
    <w:rsid w:val="00423979"/>
    <w:rsid w:val="00424E2E"/>
    <w:rsid w:val="00425822"/>
    <w:rsid w:val="00425D81"/>
    <w:rsid w:val="00431E2C"/>
    <w:rsid w:val="004336C4"/>
    <w:rsid w:val="004414B5"/>
    <w:rsid w:val="004426B2"/>
    <w:rsid w:val="00451616"/>
    <w:rsid w:val="00452794"/>
    <w:rsid w:val="00454BFF"/>
    <w:rsid w:val="00455D2B"/>
    <w:rsid w:val="00455EFD"/>
    <w:rsid w:val="00455F90"/>
    <w:rsid w:val="004576B7"/>
    <w:rsid w:val="00460DEF"/>
    <w:rsid w:val="00462197"/>
    <w:rsid w:val="00464EC2"/>
    <w:rsid w:val="004656C3"/>
    <w:rsid w:val="00466770"/>
    <w:rsid w:val="00470C6C"/>
    <w:rsid w:val="004713AA"/>
    <w:rsid w:val="00474425"/>
    <w:rsid w:val="00475008"/>
    <w:rsid w:val="00476A69"/>
    <w:rsid w:val="00481342"/>
    <w:rsid w:val="0048178F"/>
    <w:rsid w:val="004836C5"/>
    <w:rsid w:val="00483AF9"/>
    <w:rsid w:val="004843E3"/>
    <w:rsid w:val="0048497E"/>
    <w:rsid w:val="00486375"/>
    <w:rsid w:val="00487B80"/>
    <w:rsid w:val="004908EE"/>
    <w:rsid w:val="00490EAB"/>
    <w:rsid w:val="00491F17"/>
    <w:rsid w:val="00493901"/>
    <w:rsid w:val="00493D1E"/>
    <w:rsid w:val="004A127A"/>
    <w:rsid w:val="004A18BE"/>
    <w:rsid w:val="004A7607"/>
    <w:rsid w:val="004A7F20"/>
    <w:rsid w:val="004B078E"/>
    <w:rsid w:val="004B39D9"/>
    <w:rsid w:val="004B542A"/>
    <w:rsid w:val="004B5487"/>
    <w:rsid w:val="004B69E6"/>
    <w:rsid w:val="004B6A17"/>
    <w:rsid w:val="004C08E4"/>
    <w:rsid w:val="004C0C3C"/>
    <w:rsid w:val="004C13A9"/>
    <w:rsid w:val="004C3BED"/>
    <w:rsid w:val="004C5F84"/>
    <w:rsid w:val="004C6FBB"/>
    <w:rsid w:val="004D03F5"/>
    <w:rsid w:val="004D37BD"/>
    <w:rsid w:val="004D4966"/>
    <w:rsid w:val="004D4E16"/>
    <w:rsid w:val="004D7F5D"/>
    <w:rsid w:val="004E48F7"/>
    <w:rsid w:val="004E5CB7"/>
    <w:rsid w:val="004E661E"/>
    <w:rsid w:val="004E7CF5"/>
    <w:rsid w:val="004E7F87"/>
    <w:rsid w:val="004F369C"/>
    <w:rsid w:val="004F3ED7"/>
    <w:rsid w:val="004F50BE"/>
    <w:rsid w:val="004F58AC"/>
    <w:rsid w:val="004F7D20"/>
    <w:rsid w:val="005005EE"/>
    <w:rsid w:val="00503920"/>
    <w:rsid w:val="00506391"/>
    <w:rsid w:val="00506D35"/>
    <w:rsid w:val="00507C4D"/>
    <w:rsid w:val="00510F84"/>
    <w:rsid w:val="00515245"/>
    <w:rsid w:val="00515FF8"/>
    <w:rsid w:val="00521EFC"/>
    <w:rsid w:val="0052255D"/>
    <w:rsid w:val="00523B79"/>
    <w:rsid w:val="005301FC"/>
    <w:rsid w:val="00531117"/>
    <w:rsid w:val="00532DD3"/>
    <w:rsid w:val="00532E66"/>
    <w:rsid w:val="00532E8B"/>
    <w:rsid w:val="0053310E"/>
    <w:rsid w:val="005345AC"/>
    <w:rsid w:val="00537302"/>
    <w:rsid w:val="00537922"/>
    <w:rsid w:val="005404CC"/>
    <w:rsid w:val="00544C24"/>
    <w:rsid w:val="005468AB"/>
    <w:rsid w:val="005476AD"/>
    <w:rsid w:val="0055178D"/>
    <w:rsid w:val="0055424D"/>
    <w:rsid w:val="0055469D"/>
    <w:rsid w:val="00555BAB"/>
    <w:rsid w:val="00555D0D"/>
    <w:rsid w:val="0055646C"/>
    <w:rsid w:val="0056016C"/>
    <w:rsid w:val="00561766"/>
    <w:rsid w:val="00562C63"/>
    <w:rsid w:val="00563206"/>
    <w:rsid w:val="00564857"/>
    <w:rsid w:val="00566089"/>
    <w:rsid w:val="0056783B"/>
    <w:rsid w:val="00570665"/>
    <w:rsid w:val="00570A15"/>
    <w:rsid w:val="00570A29"/>
    <w:rsid w:val="0057104E"/>
    <w:rsid w:val="00572657"/>
    <w:rsid w:val="00573B96"/>
    <w:rsid w:val="0057505C"/>
    <w:rsid w:val="0058051E"/>
    <w:rsid w:val="00583575"/>
    <w:rsid w:val="0058499A"/>
    <w:rsid w:val="00592EA7"/>
    <w:rsid w:val="00593087"/>
    <w:rsid w:val="00593B11"/>
    <w:rsid w:val="00593D48"/>
    <w:rsid w:val="00594CED"/>
    <w:rsid w:val="00597BCA"/>
    <w:rsid w:val="005A00D0"/>
    <w:rsid w:val="005A29C7"/>
    <w:rsid w:val="005A4327"/>
    <w:rsid w:val="005A6B37"/>
    <w:rsid w:val="005A6B55"/>
    <w:rsid w:val="005A7954"/>
    <w:rsid w:val="005B06F3"/>
    <w:rsid w:val="005B149D"/>
    <w:rsid w:val="005B15C5"/>
    <w:rsid w:val="005C0453"/>
    <w:rsid w:val="005C06B5"/>
    <w:rsid w:val="005C0D0F"/>
    <w:rsid w:val="005C3636"/>
    <w:rsid w:val="005C4F40"/>
    <w:rsid w:val="005C68A8"/>
    <w:rsid w:val="005D26CD"/>
    <w:rsid w:val="005D2C89"/>
    <w:rsid w:val="005D44C9"/>
    <w:rsid w:val="005D5F4E"/>
    <w:rsid w:val="005D71A2"/>
    <w:rsid w:val="005E39E9"/>
    <w:rsid w:val="005E5541"/>
    <w:rsid w:val="005E7284"/>
    <w:rsid w:val="005F1CCD"/>
    <w:rsid w:val="005F2114"/>
    <w:rsid w:val="005F228A"/>
    <w:rsid w:val="005F3478"/>
    <w:rsid w:val="005F3561"/>
    <w:rsid w:val="005F54A3"/>
    <w:rsid w:val="005F5884"/>
    <w:rsid w:val="005F7188"/>
    <w:rsid w:val="00600839"/>
    <w:rsid w:val="006026E0"/>
    <w:rsid w:val="00602BB2"/>
    <w:rsid w:val="0060557B"/>
    <w:rsid w:val="0061705B"/>
    <w:rsid w:val="0062003D"/>
    <w:rsid w:val="00620054"/>
    <w:rsid w:val="006204EE"/>
    <w:rsid w:val="00622026"/>
    <w:rsid w:val="00624FE6"/>
    <w:rsid w:val="00625823"/>
    <w:rsid w:val="00626AAB"/>
    <w:rsid w:val="00632364"/>
    <w:rsid w:val="006331C7"/>
    <w:rsid w:val="00634453"/>
    <w:rsid w:val="00634B18"/>
    <w:rsid w:val="006352F7"/>
    <w:rsid w:val="00635BE9"/>
    <w:rsid w:val="0063774D"/>
    <w:rsid w:val="00642C72"/>
    <w:rsid w:val="00645212"/>
    <w:rsid w:val="00647332"/>
    <w:rsid w:val="00647B5D"/>
    <w:rsid w:val="0065001E"/>
    <w:rsid w:val="0065405A"/>
    <w:rsid w:val="00654848"/>
    <w:rsid w:val="006548C3"/>
    <w:rsid w:val="00655572"/>
    <w:rsid w:val="00655AA4"/>
    <w:rsid w:val="0065730B"/>
    <w:rsid w:val="00657EA3"/>
    <w:rsid w:val="00661B7A"/>
    <w:rsid w:val="006621BA"/>
    <w:rsid w:val="006646E8"/>
    <w:rsid w:val="00665970"/>
    <w:rsid w:val="00666CE4"/>
    <w:rsid w:val="00672AE1"/>
    <w:rsid w:val="006747F9"/>
    <w:rsid w:val="00674DA3"/>
    <w:rsid w:val="006770B6"/>
    <w:rsid w:val="006817B5"/>
    <w:rsid w:val="00684559"/>
    <w:rsid w:val="00685198"/>
    <w:rsid w:val="006853F6"/>
    <w:rsid w:val="0068641F"/>
    <w:rsid w:val="0068743D"/>
    <w:rsid w:val="00690BCC"/>
    <w:rsid w:val="00691D5A"/>
    <w:rsid w:val="00693069"/>
    <w:rsid w:val="00695312"/>
    <w:rsid w:val="00695EF7"/>
    <w:rsid w:val="00696E2D"/>
    <w:rsid w:val="00696FD4"/>
    <w:rsid w:val="0069787C"/>
    <w:rsid w:val="006A29A7"/>
    <w:rsid w:val="006A2EBB"/>
    <w:rsid w:val="006A3D41"/>
    <w:rsid w:val="006A3F2A"/>
    <w:rsid w:val="006A430F"/>
    <w:rsid w:val="006B7522"/>
    <w:rsid w:val="006B7DE9"/>
    <w:rsid w:val="006C0E8C"/>
    <w:rsid w:val="006C187E"/>
    <w:rsid w:val="006C2064"/>
    <w:rsid w:val="006C283D"/>
    <w:rsid w:val="006C6A68"/>
    <w:rsid w:val="006C6C72"/>
    <w:rsid w:val="006D1B28"/>
    <w:rsid w:val="006D3F3B"/>
    <w:rsid w:val="006E1E25"/>
    <w:rsid w:val="006E1FB8"/>
    <w:rsid w:val="006E6DFD"/>
    <w:rsid w:val="006F4C41"/>
    <w:rsid w:val="006F6D76"/>
    <w:rsid w:val="00702EDC"/>
    <w:rsid w:val="00704E57"/>
    <w:rsid w:val="007100D8"/>
    <w:rsid w:val="007104D5"/>
    <w:rsid w:val="00710AAF"/>
    <w:rsid w:val="007113E7"/>
    <w:rsid w:val="00711B3A"/>
    <w:rsid w:val="00711BCF"/>
    <w:rsid w:val="00713DCC"/>
    <w:rsid w:val="00715684"/>
    <w:rsid w:val="007164BB"/>
    <w:rsid w:val="007206AC"/>
    <w:rsid w:val="00724FCB"/>
    <w:rsid w:val="00732550"/>
    <w:rsid w:val="0073677A"/>
    <w:rsid w:val="007373CF"/>
    <w:rsid w:val="0073764B"/>
    <w:rsid w:val="00741FFC"/>
    <w:rsid w:val="00746046"/>
    <w:rsid w:val="00752B27"/>
    <w:rsid w:val="0075572A"/>
    <w:rsid w:val="00760E7A"/>
    <w:rsid w:val="007619DD"/>
    <w:rsid w:val="00761EC0"/>
    <w:rsid w:val="00761FF2"/>
    <w:rsid w:val="0076289C"/>
    <w:rsid w:val="00762A22"/>
    <w:rsid w:val="00765584"/>
    <w:rsid w:val="00765BB7"/>
    <w:rsid w:val="0077128D"/>
    <w:rsid w:val="00771ACB"/>
    <w:rsid w:val="0077281C"/>
    <w:rsid w:val="00773AE1"/>
    <w:rsid w:val="00774F0D"/>
    <w:rsid w:val="00776152"/>
    <w:rsid w:val="007776E2"/>
    <w:rsid w:val="00777948"/>
    <w:rsid w:val="00777CD8"/>
    <w:rsid w:val="00780A43"/>
    <w:rsid w:val="0078361A"/>
    <w:rsid w:val="007864E7"/>
    <w:rsid w:val="007910F6"/>
    <w:rsid w:val="00791B55"/>
    <w:rsid w:val="00795CAF"/>
    <w:rsid w:val="007A266F"/>
    <w:rsid w:val="007A3B8C"/>
    <w:rsid w:val="007A3E25"/>
    <w:rsid w:val="007A5A4D"/>
    <w:rsid w:val="007A620D"/>
    <w:rsid w:val="007A6BD7"/>
    <w:rsid w:val="007A77B1"/>
    <w:rsid w:val="007B4C47"/>
    <w:rsid w:val="007B6816"/>
    <w:rsid w:val="007B6E76"/>
    <w:rsid w:val="007C0563"/>
    <w:rsid w:val="007C12DD"/>
    <w:rsid w:val="007C3141"/>
    <w:rsid w:val="007C4422"/>
    <w:rsid w:val="007C497B"/>
    <w:rsid w:val="007C49E2"/>
    <w:rsid w:val="007C5299"/>
    <w:rsid w:val="007C6E4C"/>
    <w:rsid w:val="007C734F"/>
    <w:rsid w:val="007C74A8"/>
    <w:rsid w:val="007D259D"/>
    <w:rsid w:val="007D2DB7"/>
    <w:rsid w:val="007D7EE7"/>
    <w:rsid w:val="007E1527"/>
    <w:rsid w:val="007E15AB"/>
    <w:rsid w:val="007E3584"/>
    <w:rsid w:val="007E386F"/>
    <w:rsid w:val="007E4ECE"/>
    <w:rsid w:val="007E63EA"/>
    <w:rsid w:val="007F19EE"/>
    <w:rsid w:val="007F2179"/>
    <w:rsid w:val="007F3B18"/>
    <w:rsid w:val="00802E6F"/>
    <w:rsid w:val="00803FF0"/>
    <w:rsid w:val="0080463A"/>
    <w:rsid w:val="00804DA7"/>
    <w:rsid w:val="00806FE0"/>
    <w:rsid w:val="0080706F"/>
    <w:rsid w:val="00811615"/>
    <w:rsid w:val="00811D26"/>
    <w:rsid w:val="00812248"/>
    <w:rsid w:val="00813DB8"/>
    <w:rsid w:val="00815301"/>
    <w:rsid w:val="00821AF6"/>
    <w:rsid w:val="00823604"/>
    <w:rsid w:val="00826068"/>
    <w:rsid w:val="008269B2"/>
    <w:rsid w:val="0082710F"/>
    <w:rsid w:val="00827978"/>
    <w:rsid w:val="008323D2"/>
    <w:rsid w:val="00835AC4"/>
    <w:rsid w:val="008366A9"/>
    <w:rsid w:val="008374C1"/>
    <w:rsid w:val="0084798E"/>
    <w:rsid w:val="00847E15"/>
    <w:rsid w:val="00851758"/>
    <w:rsid w:val="00851C4C"/>
    <w:rsid w:val="00857298"/>
    <w:rsid w:val="0085740A"/>
    <w:rsid w:val="00862BC8"/>
    <w:rsid w:val="00863D6E"/>
    <w:rsid w:val="00866B0C"/>
    <w:rsid w:val="0087056C"/>
    <w:rsid w:val="00871BD9"/>
    <w:rsid w:val="00872A07"/>
    <w:rsid w:val="00872CC7"/>
    <w:rsid w:val="00873BEB"/>
    <w:rsid w:val="00877974"/>
    <w:rsid w:val="00877D48"/>
    <w:rsid w:val="00880AC5"/>
    <w:rsid w:val="00881D81"/>
    <w:rsid w:val="00882977"/>
    <w:rsid w:val="008852B8"/>
    <w:rsid w:val="008859C6"/>
    <w:rsid w:val="008863B6"/>
    <w:rsid w:val="00886BFC"/>
    <w:rsid w:val="00893C5F"/>
    <w:rsid w:val="00894B16"/>
    <w:rsid w:val="00896CAA"/>
    <w:rsid w:val="00897C47"/>
    <w:rsid w:val="008A2EE8"/>
    <w:rsid w:val="008A332F"/>
    <w:rsid w:val="008A3C25"/>
    <w:rsid w:val="008A6F26"/>
    <w:rsid w:val="008A70D4"/>
    <w:rsid w:val="008B10F3"/>
    <w:rsid w:val="008B1D66"/>
    <w:rsid w:val="008B45B7"/>
    <w:rsid w:val="008B5226"/>
    <w:rsid w:val="008B6384"/>
    <w:rsid w:val="008B7494"/>
    <w:rsid w:val="008C612C"/>
    <w:rsid w:val="008C7992"/>
    <w:rsid w:val="008D3117"/>
    <w:rsid w:val="008D5801"/>
    <w:rsid w:val="008D580F"/>
    <w:rsid w:val="008D7396"/>
    <w:rsid w:val="008D7C86"/>
    <w:rsid w:val="008E1ED2"/>
    <w:rsid w:val="008E43C3"/>
    <w:rsid w:val="008F40D4"/>
    <w:rsid w:val="008F428A"/>
    <w:rsid w:val="008F42AA"/>
    <w:rsid w:val="008F51FB"/>
    <w:rsid w:val="00900B76"/>
    <w:rsid w:val="0090288D"/>
    <w:rsid w:val="009045F8"/>
    <w:rsid w:val="00906BAF"/>
    <w:rsid w:val="00906D4B"/>
    <w:rsid w:val="00907A7F"/>
    <w:rsid w:val="00907DF7"/>
    <w:rsid w:val="00910F5F"/>
    <w:rsid w:val="00911A9F"/>
    <w:rsid w:val="0091209D"/>
    <w:rsid w:val="009135DA"/>
    <w:rsid w:val="00913C1F"/>
    <w:rsid w:val="00914F25"/>
    <w:rsid w:val="00915C91"/>
    <w:rsid w:val="0091751A"/>
    <w:rsid w:val="009175DD"/>
    <w:rsid w:val="009177CB"/>
    <w:rsid w:val="0092112D"/>
    <w:rsid w:val="0092148A"/>
    <w:rsid w:val="00925390"/>
    <w:rsid w:val="0092594F"/>
    <w:rsid w:val="00925BBE"/>
    <w:rsid w:val="0092656A"/>
    <w:rsid w:val="009274CE"/>
    <w:rsid w:val="00930308"/>
    <w:rsid w:val="00930406"/>
    <w:rsid w:val="009305DB"/>
    <w:rsid w:val="0093341A"/>
    <w:rsid w:val="0093543A"/>
    <w:rsid w:val="009407BF"/>
    <w:rsid w:val="00943241"/>
    <w:rsid w:val="00945C1D"/>
    <w:rsid w:val="0094675A"/>
    <w:rsid w:val="00947CAA"/>
    <w:rsid w:val="00951E5A"/>
    <w:rsid w:val="00953018"/>
    <w:rsid w:val="0095362C"/>
    <w:rsid w:val="00953ABF"/>
    <w:rsid w:val="00954381"/>
    <w:rsid w:val="0096175F"/>
    <w:rsid w:val="00967ED0"/>
    <w:rsid w:val="0097411F"/>
    <w:rsid w:val="00974371"/>
    <w:rsid w:val="00975837"/>
    <w:rsid w:val="00980961"/>
    <w:rsid w:val="00982587"/>
    <w:rsid w:val="0099179E"/>
    <w:rsid w:val="009919E0"/>
    <w:rsid w:val="00997EB2"/>
    <w:rsid w:val="009A2468"/>
    <w:rsid w:val="009A37B5"/>
    <w:rsid w:val="009A420F"/>
    <w:rsid w:val="009A44FD"/>
    <w:rsid w:val="009A4D68"/>
    <w:rsid w:val="009A56E9"/>
    <w:rsid w:val="009A615E"/>
    <w:rsid w:val="009B06F4"/>
    <w:rsid w:val="009B189D"/>
    <w:rsid w:val="009B2A3E"/>
    <w:rsid w:val="009B36C9"/>
    <w:rsid w:val="009B6EBC"/>
    <w:rsid w:val="009B7A2F"/>
    <w:rsid w:val="009C006F"/>
    <w:rsid w:val="009C03D4"/>
    <w:rsid w:val="009D465B"/>
    <w:rsid w:val="009D4E97"/>
    <w:rsid w:val="009D609F"/>
    <w:rsid w:val="009D6625"/>
    <w:rsid w:val="009D77AB"/>
    <w:rsid w:val="009E0861"/>
    <w:rsid w:val="009E1D42"/>
    <w:rsid w:val="009E340C"/>
    <w:rsid w:val="009E34C3"/>
    <w:rsid w:val="009E593F"/>
    <w:rsid w:val="009E641D"/>
    <w:rsid w:val="009E69E6"/>
    <w:rsid w:val="009E71F6"/>
    <w:rsid w:val="009E767B"/>
    <w:rsid w:val="009F1994"/>
    <w:rsid w:val="009F25BF"/>
    <w:rsid w:val="009F2BE8"/>
    <w:rsid w:val="009F5D69"/>
    <w:rsid w:val="00A0053A"/>
    <w:rsid w:val="00A00B4D"/>
    <w:rsid w:val="00A03E97"/>
    <w:rsid w:val="00A04E90"/>
    <w:rsid w:val="00A05644"/>
    <w:rsid w:val="00A05B9E"/>
    <w:rsid w:val="00A073D2"/>
    <w:rsid w:val="00A0778E"/>
    <w:rsid w:val="00A11AD7"/>
    <w:rsid w:val="00A127DC"/>
    <w:rsid w:val="00A13277"/>
    <w:rsid w:val="00A13FFC"/>
    <w:rsid w:val="00A1573B"/>
    <w:rsid w:val="00A15E23"/>
    <w:rsid w:val="00A168A5"/>
    <w:rsid w:val="00A16F89"/>
    <w:rsid w:val="00A178F8"/>
    <w:rsid w:val="00A22C52"/>
    <w:rsid w:val="00A2365D"/>
    <w:rsid w:val="00A246E9"/>
    <w:rsid w:val="00A3065E"/>
    <w:rsid w:val="00A33017"/>
    <w:rsid w:val="00A33C0F"/>
    <w:rsid w:val="00A3436C"/>
    <w:rsid w:val="00A348B3"/>
    <w:rsid w:val="00A36065"/>
    <w:rsid w:val="00A37A00"/>
    <w:rsid w:val="00A40DF4"/>
    <w:rsid w:val="00A413D3"/>
    <w:rsid w:val="00A44D0C"/>
    <w:rsid w:val="00A468D9"/>
    <w:rsid w:val="00A503E5"/>
    <w:rsid w:val="00A51701"/>
    <w:rsid w:val="00A52EE2"/>
    <w:rsid w:val="00A560EC"/>
    <w:rsid w:val="00A61554"/>
    <w:rsid w:val="00A61606"/>
    <w:rsid w:val="00A623E6"/>
    <w:rsid w:val="00A65820"/>
    <w:rsid w:val="00A65E75"/>
    <w:rsid w:val="00A67933"/>
    <w:rsid w:val="00A67D7B"/>
    <w:rsid w:val="00A73E1D"/>
    <w:rsid w:val="00A77479"/>
    <w:rsid w:val="00A77BCD"/>
    <w:rsid w:val="00A80C09"/>
    <w:rsid w:val="00A8303E"/>
    <w:rsid w:val="00A8421B"/>
    <w:rsid w:val="00A84899"/>
    <w:rsid w:val="00A86FD1"/>
    <w:rsid w:val="00A92B8C"/>
    <w:rsid w:val="00A95F78"/>
    <w:rsid w:val="00A96094"/>
    <w:rsid w:val="00A9631E"/>
    <w:rsid w:val="00A96524"/>
    <w:rsid w:val="00A971CB"/>
    <w:rsid w:val="00A97B56"/>
    <w:rsid w:val="00AA0E4B"/>
    <w:rsid w:val="00AA1B1A"/>
    <w:rsid w:val="00AA2FAF"/>
    <w:rsid w:val="00AA6293"/>
    <w:rsid w:val="00AA64AE"/>
    <w:rsid w:val="00AB03BE"/>
    <w:rsid w:val="00AB08F1"/>
    <w:rsid w:val="00AB232F"/>
    <w:rsid w:val="00AB2D90"/>
    <w:rsid w:val="00AB52DF"/>
    <w:rsid w:val="00AB5F03"/>
    <w:rsid w:val="00AC008D"/>
    <w:rsid w:val="00AC193F"/>
    <w:rsid w:val="00AC3060"/>
    <w:rsid w:val="00AC3D60"/>
    <w:rsid w:val="00AC5DA3"/>
    <w:rsid w:val="00AC7B5D"/>
    <w:rsid w:val="00AD12DB"/>
    <w:rsid w:val="00AD1F93"/>
    <w:rsid w:val="00AD295B"/>
    <w:rsid w:val="00AD3A79"/>
    <w:rsid w:val="00AD6EBF"/>
    <w:rsid w:val="00AD7B5A"/>
    <w:rsid w:val="00AE345D"/>
    <w:rsid w:val="00AE4AD9"/>
    <w:rsid w:val="00AE4DD7"/>
    <w:rsid w:val="00AE6956"/>
    <w:rsid w:val="00AF3AED"/>
    <w:rsid w:val="00AF3EE2"/>
    <w:rsid w:val="00AF5337"/>
    <w:rsid w:val="00AF5BA1"/>
    <w:rsid w:val="00AF6156"/>
    <w:rsid w:val="00AF6645"/>
    <w:rsid w:val="00AF6A87"/>
    <w:rsid w:val="00B00B35"/>
    <w:rsid w:val="00B00F72"/>
    <w:rsid w:val="00B00F8A"/>
    <w:rsid w:val="00B01855"/>
    <w:rsid w:val="00B03729"/>
    <w:rsid w:val="00B04408"/>
    <w:rsid w:val="00B06D6D"/>
    <w:rsid w:val="00B07292"/>
    <w:rsid w:val="00B12267"/>
    <w:rsid w:val="00B12ADE"/>
    <w:rsid w:val="00B14C50"/>
    <w:rsid w:val="00B14EC4"/>
    <w:rsid w:val="00B15CBA"/>
    <w:rsid w:val="00B2140C"/>
    <w:rsid w:val="00B21F2B"/>
    <w:rsid w:val="00B21FE5"/>
    <w:rsid w:val="00B22673"/>
    <w:rsid w:val="00B2394E"/>
    <w:rsid w:val="00B245F2"/>
    <w:rsid w:val="00B250BA"/>
    <w:rsid w:val="00B274FD"/>
    <w:rsid w:val="00B309AA"/>
    <w:rsid w:val="00B32605"/>
    <w:rsid w:val="00B32FAF"/>
    <w:rsid w:val="00B339C9"/>
    <w:rsid w:val="00B36A2A"/>
    <w:rsid w:val="00B401D9"/>
    <w:rsid w:val="00B47AE5"/>
    <w:rsid w:val="00B50839"/>
    <w:rsid w:val="00B51ECF"/>
    <w:rsid w:val="00B522D7"/>
    <w:rsid w:val="00B525F7"/>
    <w:rsid w:val="00B53D08"/>
    <w:rsid w:val="00B53E0E"/>
    <w:rsid w:val="00B574FD"/>
    <w:rsid w:val="00B60913"/>
    <w:rsid w:val="00B62416"/>
    <w:rsid w:val="00B66D9A"/>
    <w:rsid w:val="00B66E5B"/>
    <w:rsid w:val="00B70FA8"/>
    <w:rsid w:val="00B71112"/>
    <w:rsid w:val="00B717D0"/>
    <w:rsid w:val="00B72A5A"/>
    <w:rsid w:val="00B74E80"/>
    <w:rsid w:val="00B75920"/>
    <w:rsid w:val="00B75ADB"/>
    <w:rsid w:val="00B77258"/>
    <w:rsid w:val="00B772ED"/>
    <w:rsid w:val="00B80EB2"/>
    <w:rsid w:val="00B83595"/>
    <w:rsid w:val="00B83DD3"/>
    <w:rsid w:val="00B84188"/>
    <w:rsid w:val="00B866DD"/>
    <w:rsid w:val="00B872C3"/>
    <w:rsid w:val="00B90474"/>
    <w:rsid w:val="00B939EB"/>
    <w:rsid w:val="00B95F09"/>
    <w:rsid w:val="00B965E9"/>
    <w:rsid w:val="00B96B3F"/>
    <w:rsid w:val="00BA06B9"/>
    <w:rsid w:val="00BA0E9C"/>
    <w:rsid w:val="00BA0F64"/>
    <w:rsid w:val="00BA4666"/>
    <w:rsid w:val="00BA6B3E"/>
    <w:rsid w:val="00BA6D73"/>
    <w:rsid w:val="00BB1234"/>
    <w:rsid w:val="00BB4387"/>
    <w:rsid w:val="00BB4D97"/>
    <w:rsid w:val="00BC0BB3"/>
    <w:rsid w:val="00BC5075"/>
    <w:rsid w:val="00BC5651"/>
    <w:rsid w:val="00BC6138"/>
    <w:rsid w:val="00BC676F"/>
    <w:rsid w:val="00BD0298"/>
    <w:rsid w:val="00BD2301"/>
    <w:rsid w:val="00BD40F1"/>
    <w:rsid w:val="00BD7378"/>
    <w:rsid w:val="00BD7777"/>
    <w:rsid w:val="00BE2D71"/>
    <w:rsid w:val="00BE31F6"/>
    <w:rsid w:val="00BE41A3"/>
    <w:rsid w:val="00BF38D0"/>
    <w:rsid w:val="00C01E5C"/>
    <w:rsid w:val="00C03B41"/>
    <w:rsid w:val="00C04493"/>
    <w:rsid w:val="00C057B2"/>
    <w:rsid w:val="00C13CE6"/>
    <w:rsid w:val="00C14278"/>
    <w:rsid w:val="00C14879"/>
    <w:rsid w:val="00C15200"/>
    <w:rsid w:val="00C15E9C"/>
    <w:rsid w:val="00C2269F"/>
    <w:rsid w:val="00C239FF"/>
    <w:rsid w:val="00C24076"/>
    <w:rsid w:val="00C30C28"/>
    <w:rsid w:val="00C30C5A"/>
    <w:rsid w:val="00C3192D"/>
    <w:rsid w:val="00C328BF"/>
    <w:rsid w:val="00C331BC"/>
    <w:rsid w:val="00C337E6"/>
    <w:rsid w:val="00C34070"/>
    <w:rsid w:val="00C34BDF"/>
    <w:rsid w:val="00C37499"/>
    <w:rsid w:val="00C422BC"/>
    <w:rsid w:val="00C42881"/>
    <w:rsid w:val="00C43362"/>
    <w:rsid w:val="00C43A0A"/>
    <w:rsid w:val="00C446B0"/>
    <w:rsid w:val="00C45DF3"/>
    <w:rsid w:val="00C4658C"/>
    <w:rsid w:val="00C47CB1"/>
    <w:rsid w:val="00C51CE1"/>
    <w:rsid w:val="00C53EA1"/>
    <w:rsid w:val="00C548A3"/>
    <w:rsid w:val="00C54AAF"/>
    <w:rsid w:val="00C54F64"/>
    <w:rsid w:val="00C5541A"/>
    <w:rsid w:val="00C666D3"/>
    <w:rsid w:val="00C667EB"/>
    <w:rsid w:val="00C66B35"/>
    <w:rsid w:val="00C67BDA"/>
    <w:rsid w:val="00C709DC"/>
    <w:rsid w:val="00C71861"/>
    <w:rsid w:val="00C726DF"/>
    <w:rsid w:val="00C774DD"/>
    <w:rsid w:val="00C82197"/>
    <w:rsid w:val="00C82BA0"/>
    <w:rsid w:val="00C847A5"/>
    <w:rsid w:val="00C85A76"/>
    <w:rsid w:val="00C90CB4"/>
    <w:rsid w:val="00C91EAD"/>
    <w:rsid w:val="00C92B46"/>
    <w:rsid w:val="00C9323E"/>
    <w:rsid w:val="00C938D6"/>
    <w:rsid w:val="00C948D7"/>
    <w:rsid w:val="00C95ADD"/>
    <w:rsid w:val="00C978D5"/>
    <w:rsid w:val="00CA4724"/>
    <w:rsid w:val="00CB250C"/>
    <w:rsid w:val="00CB2FD9"/>
    <w:rsid w:val="00CB3212"/>
    <w:rsid w:val="00CB45B4"/>
    <w:rsid w:val="00CB5946"/>
    <w:rsid w:val="00CB665C"/>
    <w:rsid w:val="00CC144F"/>
    <w:rsid w:val="00CC33E2"/>
    <w:rsid w:val="00CC41B6"/>
    <w:rsid w:val="00CC577A"/>
    <w:rsid w:val="00CC5927"/>
    <w:rsid w:val="00CC59A3"/>
    <w:rsid w:val="00CC64C9"/>
    <w:rsid w:val="00CD1C9F"/>
    <w:rsid w:val="00CD330D"/>
    <w:rsid w:val="00CD435B"/>
    <w:rsid w:val="00CD560F"/>
    <w:rsid w:val="00CE07C8"/>
    <w:rsid w:val="00CE2080"/>
    <w:rsid w:val="00CE723B"/>
    <w:rsid w:val="00CF0D5F"/>
    <w:rsid w:val="00CF1038"/>
    <w:rsid w:val="00CF5E58"/>
    <w:rsid w:val="00D00066"/>
    <w:rsid w:val="00D004CF"/>
    <w:rsid w:val="00D00729"/>
    <w:rsid w:val="00D06546"/>
    <w:rsid w:val="00D07595"/>
    <w:rsid w:val="00D119A1"/>
    <w:rsid w:val="00D12026"/>
    <w:rsid w:val="00D12D27"/>
    <w:rsid w:val="00D1614B"/>
    <w:rsid w:val="00D218B3"/>
    <w:rsid w:val="00D226DD"/>
    <w:rsid w:val="00D23D0D"/>
    <w:rsid w:val="00D24E17"/>
    <w:rsid w:val="00D25EBC"/>
    <w:rsid w:val="00D31323"/>
    <w:rsid w:val="00D378EC"/>
    <w:rsid w:val="00D40FC3"/>
    <w:rsid w:val="00D41125"/>
    <w:rsid w:val="00D4296B"/>
    <w:rsid w:val="00D44D8C"/>
    <w:rsid w:val="00D47122"/>
    <w:rsid w:val="00D506CB"/>
    <w:rsid w:val="00D507DD"/>
    <w:rsid w:val="00D50B1F"/>
    <w:rsid w:val="00D511A0"/>
    <w:rsid w:val="00D51FCE"/>
    <w:rsid w:val="00D62838"/>
    <w:rsid w:val="00D67D3C"/>
    <w:rsid w:val="00D71A8B"/>
    <w:rsid w:val="00D722AE"/>
    <w:rsid w:val="00D73087"/>
    <w:rsid w:val="00D73112"/>
    <w:rsid w:val="00D732A3"/>
    <w:rsid w:val="00D75130"/>
    <w:rsid w:val="00D751CD"/>
    <w:rsid w:val="00D75415"/>
    <w:rsid w:val="00D81F21"/>
    <w:rsid w:val="00D82A30"/>
    <w:rsid w:val="00D82D6D"/>
    <w:rsid w:val="00D84414"/>
    <w:rsid w:val="00D84D04"/>
    <w:rsid w:val="00D85C75"/>
    <w:rsid w:val="00D860FD"/>
    <w:rsid w:val="00D8699D"/>
    <w:rsid w:val="00D871CB"/>
    <w:rsid w:val="00D87594"/>
    <w:rsid w:val="00D91B09"/>
    <w:rsid w:val="00D9245A"/>
    <w:rsid w:val="00D92C26"/>
    <w:rsid w:val="00D9474D"/>
    <w:rsid w:val="00DA0716"/>
    <w:rsid w:val="00DB362C"/>
    <w:rsid w:val="00DC03A7"/>
    <w:rsid w:val="00DC58D8"/>
    <w:rsid w:val="00DC67CC"/>
    <w:rsid w:val="00DC7794"/>
    <w:rsid w:val="00DC7DD8"/>
    <w:rsid w:val="00DD4B5D"/>
    <w:rsid w:val="00DD72BB"/>
    <w:rsid w:val="00DE2ED6"/>
    <w:rsid w:val="00DE4F2B"/>
    <w:rsid w:val="00DE5362"/>
    <w:rsid w:val="00DE5FB4"/>
    <w:rsid w:val="00DE64DC"/>
    <w:rsid w:val="00DE7819"/>
    <w:rsid w:val="00DF3229"/>
    <w:rsid w:val="00DF470A"/>
    <w:rsid w:val="00DF4EEA"/>
    <w:rsid w:val="00DF51FD"/>
    <w:rsid w:val="00DF5407"/>
    <w:rsid w:val="00DF77E6"/>
    <w:rsid w:val="00E002AB"/>
    <w:rsid w:val="00E00DB9"/>
    <w:rsid w:val="00E02100"/>
    <w:rsid w:val="00E02797"/>
    <w:rsid w:val="00E02D49"/>
    <w:rsid w:val="00E062B3"/>
    <w:rsid w:val="00E12BFF"/>
    <w:rsid w:val="00E13C88"/>
    <w:rsid w:val="00E13FC0"/>
    <w:rsid w:val="00E141B3"/>
    <w:rsid w:val="00E1633A"/>
    <w:rsid w:val="00E16C16"/>
    <w:rsid w:val="00E16C7A"/>
    <w:rsid w:val="00E17743"/>
    <w:rsid w:val="00E244D1"/>
    <w:rsid w:val="00E26923"/>
    <w:rsid w:val="00E27FB0"/>
    <w:rsid w:val="00E301B4"/>
    <w:rsid w:val="00E302F2"/>
    <w:rsid w:val="00E306E4"/>
    <w:rsid w:val="00E320BD"/>
    <w:rsid w:val="00E32AB9"/>
    <w:rsid w:val="00E348AF"/>
    <w:rsid w:val="00E34995"/>
    <w:rsid w:val="00E37471"/>
    <w:rsid w:val="00E44289"/>
    <w:rsid w:val="00E45593"/>
    <w:rsid w:val="00E47882"/>
    <w:rsid w:val="00E5313D"/>
    <w:rsid w:val="00E635C2"/>
    <w:rsid w:val="00E63ABD"/>
    <w:rsid w:val="00E63AFD"/>
    <w:rsid w:val="00E71D4F"/>
    <w:rsid w:val="00E72D19"/>
    <w:rsid w:val="00E7364C"/>
    <w:rsid w:val="00E75FCD"/>
    <w:rsid w:val="00E820C6"/>
    <w:rsid w:val="00E83A9C"/>
    <w:rsid w:val="00E83BF9"/>
    <w:rsid w:val="00E8672C"/>
    <w:rsid w:val="00E920E5"/>
    <w:rsid w:val="00E9243A"/>
    <w:rsid w:val="00E95E0D"/>
    <w:rsid w:val="00EA0BB2"/>
    <w:rsid w:val="00EA1ABB"/>
    <w:rsid w:val="00EA5EBB"/>
    <w:rsid w:val="00EA69A4"/>
    <w:rsid w:val="00EA6B6A"/>
    <w:rsid w:val="00EA75B3"/>
    <w:rsid w:val="00EA7EDE"/>
    <w:rsid w:val="00EB0E2D"/>
    <w:rsid w:val="00EB35A8"/>
    <w:rsid w:val="00EB4FE9"/>
    <w:rsid w:val="00EB5920"/>
    <w:rsid w:val="00EB6F2F"/>
    <w:rsid w:val="00EC1002"/>
    <w:rsid w:val="00EC205E"/>
    <w:rsid w:val="00EC2476"/>
    <w:rsid w:val="00EC37FB"/>
    <w:rsid w:val="00EC3A10"/>
    <w:rsid w:val="00EC3E8F"/>
    <w:rsid w:val="00EC40DA"/>
    <w:rsid w:val="00EC57CC"/>
    <w:rsid w:val="00ED1917"/>
    <w:rsid w:val="00ED1B19"/>
    <w:rsid w:val="00ED5145"/>
    <w:rsid w:val="00EE05C1"/>
    <w:rsid w:val="00EE06B5"/>
    <w:rsid w:val="00EE06E8"/>
    <w:rsid w:val="00EE1AE4"/>
    <w:rsid w:val="00EE7468"/>
    <w:rsid w:val="00EE783A"/>
    <w:rsid w:val="00EF1C30"/>
    <w:rsid w:val="00EF2DCB"/>
    <w:rsid w:val="00EF4399"/>
    <w:rsid w:val="00EF522D"/>
    <w:rsid w:val="00EF6D9D"/>
    <w:rsid w:val="00EF6DE1"/>
    <w:rsid w:val="00F00C5B"/>
    <w:rsid w:val="00F02417"/>
    <w:rsid w:val="00F04871"/>
    <w:rsid w:val="00F066D3"/>
    <w:rsid w:val="00F068F0"/>
    <w:rsid w:val="00F0792C"/>
    <w:rsid w:val="00F10E1E"/>
    <w:rsid w:val="00F11CDE"/>
    <w:rsid w:val="00F13B94"/>
    <w:rsid w:val="00F15D34"/>
    <w:rsid w:val="00F201A3"/>
    <w:rsid w:val="00F204AC"/>
    <w:rsid w:val="00F20CA0"/>
    <w:rsid w:val="00F21EE1"/>
    <w:rsid w:val="00F22AC5"/>
    <w:rsid w:val="00F2682C"/>
    <w:rsid w:val="00F31CE4"/>
    <w:rsid w:val="00F32585"/>
    <w:rsid w:val="00F36CDA"/>
    <w:rsid w:val="00F36D96"/>
    <w:rsid w:val="00F37A85"/>
    <w:rsid w:val="00F4494A"/>
    <w:rsid w:val="00F46C89"/>
    <w:rsid w:val="00F51EAA"/>
    <w:rsid w:val="00F53C3A"/>
    <w:rsid w:val="00F56129"/>
    <w:rsid w:val="00F6183A"/>
    <w:rsid w:val="00F63CA5"/>
    <w:rsid w:val="00F65632"/>
    <w:rsid w:val="00F65680"/>
    <w:rsid w:val="00F6632A"/>
    <w:rsid w:val="00F7024B"/>
    <w:rsid w:val="00F71E8E"/>
    <w:rsid w:val="00F75608"/>
    <w:rsid w:val="00F77399"/>
    <w:rsid w:val="00F77D2B"/>
    <w:rsid w:val="00F811DB"/>
    <w:rsid w:val="00F84B9A"/>
    <w:rsid w:val="00F875E8"/>
    <w:rsid w:val="00F93B49"/>
    <w:rsid w:val="00F95C36"/>
    <w:rsid w:val="00F960D0"/>
    <w:rsid w:val="00FA005B"/>
    <w:rsid w:val="00FA0B6C"/>
    <w:rsid w:val="00FA3F2F"/>
    <w:rsid w:val="00FA582B"/>
    <w:rsid w:val="00FA6861"/>
    <w:rsid w:val="00FB5415"/>
    <w:rsid w:val="00FB74E9"/>
    <w:rsid w:val="00FC1B66"/>
    <w:rsid w:val="00FC2B1F"/>
    <w:rsid w:val="00FC3364"/>
    <w:rsid w:val="00FC53DC"/>
    <w:rsid w:val="00FC5E7A"/>
    <w:rsid w:val="00FC5F7E"/>
    <w:rsid w:val="00FD139E"/>
    <w:rsid w:val="00FD3E5F"/>
    <w:rsid w:val="00FD4D83"/>
    <w:rsid w:val="00FD51FE"/>
    <w:rsid w:val="00FD5877"/>
    <w:rsid w:val="00FD5ECE"/>
    <w:rsid w:val="00FE065C"/>
    <w:rsid w:val="00FE1DDB"/>
    <w:rsid w:val="00FE2330"/>
    <w:rsid w:val="00FE2A4F"/>
    <w:rsid w:val="00FE4DEB"/>
    <w:rsid w:val="00FF1045"/>
    <w:rsid w:val="00FF19FB"/>
    <w:rsid w:val="00FF1D6D"/>
    <w:rsid w:val="00FF78A9"/>
    <w:rsid w:val="00FF7B89"/>
    <w:rsid w:val="00FF7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7E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1FF2"/>
    <w:rPr>
      <w:rFonts w:ascii="Times New Roman" w:hAnsi="Times New Roman" w:cs="Times New Roman"/>
      <w:lang w:eastAsia="pl-PL"/>
    </w:rPr>
  </w:style>
  <w:style w:type="paragraph" w:styleId="Kop1">
    <w:name w:val="heading 1"/>
    <w:basedOn w:val="Standaard"/>
    <w:link w:val="Kop1Char"/>
    <w:uiPriority w:val="9"/>
    <w:qFormat/>
    <w:rsid w:val="004A7607"/>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rsid w:val="00FA6861"/>
    <w:pPr>
      <w:spacing w:before="100" w:beforeAutospacing="1" w:after="100" w:afterAutospacing="1"/>
      <w:jc w:val="center"/>
      <w:outlineLvl w:val="1"/>
    </w:pPr>
    <w:rPr>
      <w:b/>
      <w:bCs/>
      <w:sz w:val="32"/>
      <w:szCs w:val="36"/>
    </w:rPr>
  </w:style>
  <w:style w:type="paragraph" w:styleId="Kop3">
    <w:name w:val="heading 3"/>
    <w:basedOn w:val="Lijstalinea"/>
    <w:next w:val="Standaard"/>
    <w:link w:val="Kop3Char"/>
    <w:uiPriority w:val="9"/>
    <w:unhideWhenUsed/>
    <w:qFormat/>
    <w:rsid w:val="006A3F2A"/>
    <w:pPr>
      <w:numPr>
        <w:numId w:val="1"/>
      </w:numPr>
      <w:spacing w:line="360" w:lineRule="auto"/>
      <w:jc w:val="both"/>
      <w:outlineLvl w:val="2"/>
    </w:pPr>
    <w:rPr>
      <w:b/>
      <w:caps/>
      <w:lang w:val="en-GB"/>
    </w:rPr>
  </w:style>
  <w:style w:type="paragraph" w:styleId="Kop4">
    <w:name w:val="heading 4"/>
    <w:basedOn w:val="Lijstalinea"/>
    <w:next w:val="Standaard"/>
    <w:link w:val="Kop4Char"/>
    <w:uiPriority w:val="9"/>
    <w:unhideWhenUsed/>
    <w:qFormat/>
    <w:rsid w:val="00F37A85"/>
    <w:pPr>
      <w:numPr>
        <w:ilvl w:val="1"/>
        <w:numId w:val="1"/>
      </w:numPr>
      <w:spacing w:line="360" w:lineRule="auto"/>
      <w:jc w:val="both"/>
      <w:outlineLvl w:val="3"/>
    </w:pPr>
    <w:rPr>
      <w:b/>
      <w:caps/>
      <w:lang w:val="en-GB"/>
    </w:rPr>
  </w:style>
  <w:style w:type="paragraph" w:styleId="Kop5">
    <w:name w:val="heading 5"/>
    <w:basedOn w:val="Lijstalinea"/>
    <w:next w:val="Standaard"/>
    <w:link w:val="Kop5Char"/>
    <w:uiPriority w:val="9"/>
    <w:unhideWhenUsed/>
    <w:qFormat/>
    <w:rsid w:val="00F37A85"/>
    <w:pPr>
      <w:numPr>
        <w:ilvl w:val="2"/>
        <w:numId w:val="1"/>
      </w:numPr>
      <w:spacing w:line="360" w:lineRule="auto"/>
      <w:jc w:val="both"/>
      <w:outlineLvl w:val="4"/>
    </w:pPr>
    <w:rPr>
      <w:b/>
      <w:cap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74D2"/>
    <w:pPr>
      <w:ind w:left="720"/>
      <w:contextualSpacing/>
    </w:pPr>
  </w:style>
  <w:style w:type="paragraph" w:styleId="Normaalweb">
    <w:name w:val="Normal (Web)"/>
    <w:basedOn w:val="Standaard"/>
    <w:uiPriority w:val="99"/>
    <w:semiHidden/>
    <w:unhideWhenUsed/>
    <w:rsid w:val="000E74D2"/>
    <w:pPr>
      <w:spacing w:before="100" w:beforeAutospacing="1" w:after="100" w:afterAutospacing="1"/>
    </w:pPr>
  </w:style>
  <w:style w:type="paragraph" w:customStyle="1" w:styleId="Przypisdolny">
    <w:name w:val="Przypis dolny"/>
    <w:rsid w:val="000E74D2"/>
    <w:pPr>
      <w:pBdr>
        <w:top w:val="nil"/>
        <w:left w:val="nil"/>
        <w:bottom w:val="nil"/>
        <w:right w:val="nil"/>
        <w:between w:val="nil"/>
        <w:bar w:val="nil"/>
      </w:pBdr>
    </w:pPr>
    <w:rPr>
      <w:rFonts w:ascii="Helvetica" w:eastAsia="Helvetica" w:hAnsi="Helvetica" w:cs="Helvetica"/>
      <w:color w:val="000000"/>
      <w:sz w:val="22"/>
      <w:szCs w:val="22"/>
      <w:u w:color="000000"/>
      <w:bdr w:val="nil"/>
      <w:lang w:eastAsia="pl-PL"/>
    </w:rPr>
  </w:style>
  <w:style w:type="paragraph" w:styleId="Voetnoottekst">
    <w:name w:val="footnote text"/>
    <w:basedOn w:val="Standaard"/>
    <w:link w:val="VoetnoottekstChar"/>
    <w:uiPriority w:val="99"/>
    <w:unhideWhenUsed/>
    <w:rsid w:val="00FF7C8C"/>
  </w:style>
  <w:style w:type="character" w:customStyle="1" w:styleId="VoetnoottekstChar">
    <w:name w:val="Voetnoottekst Char"/>
    <w:basedOn w:val="Standaardalinea-lettertype"/>
    <w:link w:val="Voetnoottekst"/>
    <w:uiPriority w:val="99"/>
    <w:rsid w:val="00FF7C8C"/>
  </w:style>
  <w:style w:type="character" w:styleId="Voetnootmarkering">
    <w:name w:val="footnote reference"/>
    <w:basedOn w:val="Standaardalinea-lettertype"/>
    <w:uiPriority w:val="99"/>
    <w:unhideWhenUsed/>
    <w:rsid w:val="00FF7C8C"/>
    <w:rPr>
      <w:vertAlign w:val="superscript"/>
    </w:rPr>
  </w:style>
  <w:style w:type="character" w:styleId="Zwaar">
    <w:name w:val="Strong"/>
    <w:basedOn w:val="Standaardalinea-lettertype"/>
    <w:uiPriority w:val="22"/>
    <w:qFormat/>
    <w:rsid w:val="00FF7C8C"/>
    <w:rPr>
      <w:b/>
      <w:bCs/>
    </w:rPr>
  </w:style>
  <w:style w:type="character" w:styleId="Nadruk">
    <w:name w:val="Emphasis"/>
    <w:basedOn w:val="Standaardalinea-lettertype"/>
    <w:qFormat/>
    <w:rsid w:val="00645212"/>
    <w:rPr>
      <w:i/>
      <w:iCs/>
    </w:rPr>
  </w:style>
  <w:style w:type="character" w:customStyle="1" w:styleId="apple-converted-space">
    <w:name w:val="apple-converted-space"/>
    <w:basedOn w:val="Standaardalinea-lettertype"/>
    <w:rsid w:val="00645212"/>
  </w:style>
  <w:style w:type="paragraph" w:styleId="Voettekst">
    <w:name w:val="footer"/>
    <w:basedOn w:val="Standaard"/>
    <w:link w:val="VoettekstChar"/>
    <w:uiPriority w:val="99"/>
    <w:unhideWhenUsed/>
    <w:rsid w:val="00EF6DE1"/>
    <w:pPr>
      <w:tabs>
        <w:tab w:val="center" w:pos="4536"/>
        <w:tab w:val="right" w:pos="9072"/>
      </w:tabs>
    </w:pPr>
  </w:style>
  <w:style w:type="character" w:customStyle="1" w:styleId="VoettekstChar">
    <w:name w:val="Voettekst Char"/>
    <w:basedOn w:val="Standaardalinea-lettertype"/>
    <w:link w:val="Voettekst"/>
    <w:uiPriority w:val="99"/>
    <w:rsid w:val="00EF6DE1"/>
  </w:style>
  <w:style w:type="character" w:styleId="Paginanummer">
    <w:name w:val="page number"/>
    <w:basedOn w:val="Standaardalinea-lettertype"/>
    <w:uiPriority w:val="99"/>
    <w:semiHidden/>
    <w:unhideWhenUsed/>
    <w:rsid w:val="00EF6DE1"/>
  </w:style>
  <w:style w:type="paragraph" w:styleId="Koptekst">
    <w:name w:val="header"/>
    <w:basedOn w:val="Standaard"/>
    <w:link w:val="KoptekstChar"/>
    <w:uiPriority w:val="99"/>
    <w:unhideWhenUsed/>
    <w:rsid w:val="00E75FCD"/>
    <w:pPr>
      <w:tabs>
        <w:tab w:val="center" w:pos="4536"/>
        <w:tab w:val="right" w:pos="9072"/>
      </w:tabs>
    </w:pPr>
  </w:style>
  <w:style w:type="character" w:customStyle="1" w:styleId="KoptekstChar">
    <w:name w:val="Koptekst Char"/>
    <w:basedOn w:val="Standaardalinea-lettertype"/>
    <w:link w:val="Koptekst"/>
    <w:uiPriority w:val="99"/>
    <w:rsid w:val="00E75FCD"/>
  </w:style>
  <w:style w:type="paragraph" w:customStyle="1" w:styleId="c01pointnumerotealtn">
    <w:name w:val="c01pointnumerotealtn"/>
    <w:basedOn w:val="Standaard"/>
    <w:rsid w:val="00823604"/>
    <w:pPr>
      <w:spacing w:before="100" w:beforeAutospacing="1" w:after="100" w:afterAutospacing="1"/>
    </w:pPr>
  </w:style>
  <w:style w:type="character" w:customStyle="1" w:styleId="highlight">
    <w:name w:val="highlight"/>
    <w:basedOn w:val="Standaardalinea-lettertype"/>
    <w:rsid w:val="00A67D7B"/>
  </w:style>
  <w:style w:type="character" w:customStyle="1" w:styleId="Kop1Char">
    <w:name w:val="Kop 1 Char"/>
    <w:basedOn w:val="Standaardalinea-lettertype"/>
    <w:link w:val="Kop1"/>
    <w:uiPriority w:val="9"/>
    <w:rsid w:val="004A7607"/>
    <w:rPr>
      <w:rFonts w:ascii="Times New Roman" w:hAnsi="Times New Roman" w:cs="Times New Roman"/>
      <w:b/>
      <w:bCs/>
      <w:kern w:val="36"/>
      <w:sz w:val="48"/>
      <w:szCs w:val="48"/>
      <w:lang w:eastAsia="pl-PL"/>
    </w:rPr>
  </w:style>
  <w:style w:type="character" w:customStyle="1" w:styleId="Kop2Char">
    <w:name w:val="Kop 2 Char"/>
    <w:basedOn w:val="Standaardalinea-lettertype"/>
    <w:link w:val="Kop2"/>
    <w:uiPriority w:val="9"/>
    <w:rsid w:val="00FA6861"/>
    <w:rPr>
      <w:rFonts w:ascii="Times New Roman" w:hAnsi="Times New Roman" w:cs="Times New Roman"/>
      <w:b/>
      <w:bCs/>
      <w:sz w:val="32"/>
      <w:szCs w:val="36"/>
      <w:lang w:eastAsia="pl-PL"/>
    </w:rPr>
  </w:style>
  <w:style w:type="character" w:customStyle="1" w:styleId="secondline">
    <w:name w:val="secondline"/>
    <w:basedOn w:val="Standaardalinea-lettertype"/>
    <w:rsid w:val="004A7607"/>
  </w:style>
  <w:style w:type="paragraph" w:customStyle="1" w:styleId="Akapitzlist1">
    <w:name w:val="Akapit z listą1"/>
    <w:basedOn w:val="Standaard"/>
    <w:rsid w:val="00B75ADB"/>
    <w:pPr>
      <w:suppressAutoHyphens/>
      <w:ind w:left="720"/>
    </w:pPr>
    <w:rPr>
      <w:rFonts w:ascii="Calibri" w:eastAsia="SimSun" w:hAnsi="Calibri" w:cs="font1014"/>
      <w:lang w:eastAsia="ar-SA"/>
    </w:rPr>
  </w:style>
  <w:style w:type="character" w:styleId="Verwijzingopmerking">
    <w:name w:val="annotation reference"/>
    <w:basedOn w:val="Standaardalinea-lettertype"/>
    <w:uiPriority w:val="99"/>
    <w:semiHidden/>
    <w:unhideWhenUsed/>
    <w:rsid w:val="009D609F"/>
    <w:rPr>
      <w:sz w:val="18"/>
      <w:szCs w:val="18"/>
    </w:rPr>
  </w:style>
  <w:style w:type="paragraph" w:styleId="Tekstopmerking">
    <w:name w:val="annotation text"/>
    <w:basedOn w:val="Standaard"/>
    <w:link w:val="TekstopmerkingChar"/>
    <w:uiPriority w:val="99"/>
    <w:semiHidden/>
    <w:unhideWhenUsed/>
    <w:rsid w:val="009D609F"/>
  </w:style>
  <w:style w:type="character" w:customStyle="1" w:styleId="TekstopmerkingChar">
    <w:name w:val="Tekst opmerking Char"/>
    <w:basedOn w:val="Standaardalinea-lettertype"/>
    <w:link w:val="Tekstopmerking"/>
    <w:uiPriority w:val="99"/>
    <w:semiHidden/>
    <w:rsid w:val="009D609F"/>
  </w:style>
  <w:style w:type="paragraph" w:styleId="Onderwerpvanopmerking">
    <w:name w:val="annotation subject"/>
    <w:basedOn w:val="Tekstopmerking"/>
    <w:next w:val="Tekstopmerking"/>
    <w:link w:val="OnderwerpvanopmerkingChar"/>
    <w:uiPriority w:val="99"/>
    <w:semiHidden/>
    <w:unhideWhenUsed/>
    <w:rsid w:val="009D609F"/>
    <w:rPr>
      <w:b/>
      <w:bCs/>
      <w:sz w:val="20"/>
      <w:szCs w:val="20"/>
    </w:rPr>
  </w:style>
  <w:style w:type="character" w:customStyle="1" w:styleId="OnderwerpvanopmerkingChar">
    <w:name w:val="Onderwerp van opmerking Char"/>
    <w:basedOn w:val="TekstopmerkingChar"/>
    <w:link w:val="Onderwerpvanopmerking"/>
    <w:uiPriority w:val="99"/>
    <w:semiHidden/>
    <w:rsid w:val="009D609F"/>
    <w:rPr>
      <w:b/>
      <w:bCs/>
      <w:sz w:val="20"/>
      <w:szCs w:val="20"/>
    </w:rPr>
  </w:style>
  <w:style w:type="paragraph" w:styleId="Ballontekst">
    <w:name w:val="Balloon Text"/>
    <w:basedOn w:val="Standaard"/>
    <w:link w:val="BallontekstChar"/>
    <w:uiPriority w:val="99"/>
    <w:semiHidden/>
    <w:unhideWhenUsed/>
    <w:rsid w:val="009D609F"/>
    <w:rPr>
      <w:sz w:val="18"/>
      <w:szCs w:val="18"/>
    </w:rPr>
  </w:style>
  <w:style w:type="character" w:customStyle="1" w:styleId="BallontekstChar">
    <w:name w:val="Ballontekst Char"/>
    <w:basedOn w:val="Standaardalinea-lettertype"/>
    <w:link w:val="Ballontekst"/>
    <w:uiPriority w:val="99"/>
    <w:semiHidden/>
    <w:rsid w:val="009D609F"/>
    <w:rPr>
      <w:rFonts w:ascii="Times New Roman" w:hAnsi="Times New Roman" w:cs="Times New Roman"/>
      <w:sz w:val="18"/>
      <w:szCs w:val="18"/>
    </w:rPr>
  </w:style>
  <w:style w:type="character" w:customStyle="1" w:styleId="Kop3Char">
    <w:name w:val="Kop 3 Char"/>
    <w:basedOn w:val="Standaardalinea-lettertype"/>
    <w:link w:val="Kop3"/>
    <w:uiPriority w:val="9"/>
    <w:rsid w:val="006A3F2A"/>
    <w:rPr>
      <w:rFonts w:ascii="Times New Roman" w:hAnsi="Times New Roman"/>
      <w:b/>
      <w:caps/>
      <w:lang w:val="en-GB"/>
    </w:rPr>
  </w:style>
  <w:style w:type="paragraph" w:styleId="Kopvaninhoudsopgave">
    <w:name w:val="TOC Heading"/>
    <w:basedOn w:val="Kop1"/>
    <w:next w:val="Standaard"/>
    <w:uiPriority w:val="39"/>
    <w:unhideWhenUsed/>
    <w:qFormat/>
    <w:rsid w:val="00FA6861"/>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Inhopg2">
    <w:name w:val="toc 2"/>
    <w:basedOn w:val="Standaard"/>
    <w:next w:val="Standaard"/>
    <w:autoRedefine/>
    <w:uiPriority w:val="39"/>
    <w:unhideWhenUsed/>
    <w:rsid w:val="00803FF0"/>
    <w:pPr>
      <w:ind w:left="240"/>
    </w:pPr>
    <w:rPr>
      <w:b/>
      <w:bCs/>
      <w:sz w:val="28"/>
      <w:szCs w:val="22"/>
    </w:rPr>
  </w:style>
  <w:style w:type="character" w:styleId="Hyperlink">
    <w:name w:val="Hyperlink"/>
    <w:basedOn w:val="Standaardalinea-lettertype"/>
    <w:uiPriority w:val="99"/>
    <w:unhideWhenUsed/>
    <w:rsid w:val="00FA6861"/>
    <w:rPr>
      <w:color w:val="0563C1" w:themeColor="hyperlink"/>
      <w:u w:val="single"/>
    </w:rPr>
  </w:style>
  <w:style w:type="paragraph" w:styleId="Inhopg1">
    <w:name w:val="toc 1"/>
    <w:basedOn w:val="Standaard"/>
    <w:next w:val="Standaard"/>
    <w:autoRedefine/>
    <w:uiPriority w:val="39"/>
    <w:unhideWhenUsed/>
    <w:rsid w:val="00803FF0"/>
    <w:pPr>
      <w:spacing w:before="120"/>
    </w:pPr>
    <w:rPr>
      <w:b/>
      <w:bCs/>
      <w:sz w:val="28"/>
    </w:rPr>
  </w:style>
  <w:style w:type="paragraph" w:styleId="Inhopg3">
    <w:name w:val="toc 3"/>
    <w:basedOn w:val="Standaard"/>
    <w:next w:val="Standaard"/>
    <w:autoRedefine/>
    <w:uiPriority w:val="39"/>
    <w:unhideWhenUsed/>
    <w:rsid w:val="00803FF0"/>
    <w:pPr>
      <w:ind w:left="480"/>
    </w:pPr>
    <w:rPr>
      <w:szCs w:val="22"/>
    </w:rPr>
  </w:style>
  <w:style w:type="paragraph" w:styleId="Inhopg4">
    <w:name w:val="toc 4"/>
    <w:basedOn w:val="Standaard"/>
    <w:next w:val="Standaard"/>
    <w:autoRedefine/>
    <w:uiPriority w:val="39"/>
    <w:unhideWhenUsed/>
    <w:rsid w:val="0021706B"/>
    <w:pPr>
      <w:ind w:left="720"/>
    </w:pPr>
    <w:rPr>
      <w:sz w:val="20"/>
      <w:szCs w:val="20"/>
    </w:rPr>
  </w:style>
  <w:style w:type="paragraph" w:styleId="Inhopg5">
    <w:name w:val="toc 5"/>
    <w:basedOn w:val="Standaard"/>
    <w:next w:val="Standaard"/>
    <w:autoRedefine/>
    <w:uiPriority w:val="39"/>
    <w:unhideWhenUsed/>
    <w:rsid w:val="00FA6861"/>
    <w:pPr>
      <w:ind w:left="960"/>
    </w:pPr>
    <w:rPr>
      <w:sz w:val="20"/>
      <w:szCs w:val="20"/>
    </w:rPr>
  </w:style>
  <w:style w:type="paragraph" w:styleId="Inhopg6">
    <w:name w:val="toc 6"/>
    <w:basedOn w:val="Standaard"/>
    <w:next w:val="Standaard"/>
    <w:autoRedefine/>
    <w:uiPriority w:val="39"/>
    <w:unhideWhenUsed/>
    <w:rsid w:val="00FA6861"/>
    <w:pPr>
      <w:ind w:left="1200"/>
    </w:pPr>
    <w:rPr>
      <w:sz w:val="20"/>
      <w:szCs w:val="20"/>
    </w:rPr>
  </w:style>
  <w:style w:type="paragraph" w:styleId="Inhopg7">
    <w:name w:val="toc 7"/>
    <w:basedOn w:val="Standaard"/>
    <w:next w:val="Standaard"/>
    <w:autoRedefine/>
    <w:uiPriority w:val="39"/>
    <w:unhideWhenUsed/>
    <w:rsid w:val="00FA6861"/>
    <w:pPr>
      <w:ind w:left="1440"/>
    </w:pPr>
    <w:rPr>
      <w:sz w:val="20"/>
      <w:szCs w:val="20"/>
    </w:rPr>
  </w:style>
  <w:style w:type="paragraph" w:styleId="Inhopg8">
    <w:name w:val="toc 8"/>
    <w:basedOn w:val="Standaard"/>
    <w:next w:val="Standaard"/>
    <w:autoRedefine/>
    <w:uiPriority w:val="39"/>
    <w:unhideWhenUsed/>
    <w:rsid w:val="00FA6861"/>
    <w:pPr>
      <w:ind w:left="1680"/>
    </w:pPr>
    <w:rPr>
      <w:sz w:val="20"/>
      <w:szCs w:val="20"/>
    </w:rPr>
  </w:style>
  <w:style w:type="paragraph" w:styleId="Inhopg9">
    <w:name w:val="toc 9"/>
    <w:basedOn w:val="Standaard"/>
    <w:next w:val="Standaard"/>
    <w:autoRedefine/>
    <w:uiPriority w:val="39"/>
    <w:unhideWhenUsed/>
    <w:rsid w:val="00FA6861"/>
    <w:pPr>
      <w:ind w:left="1920"/>
    </w:pPr>
    <w:rPr>
      <w:sz w:val="20"/>
      <w:szCs w:val="20"/>
    </w:rPr>
  </w:style>
  <w:style w:type="character" w:customStyle="1" w:styleId="Kop4Char">
    <w:name w:val="Kop 4 Char"/>
    <w:basedOn w:val="Standaardalinea-lettertype"/>
    <w:link w:val="Kop4"/>
    <w:uiPriority w:val="9"/>
    <w:rsid w:val="00F37A85"/>
    <w:rPr>
      <w:rFonts w:ascii="Times New Roman" w:hAnsi="Times New Roman" w:cs="Times New Roman"/>
      <w:b/>
      <w:caps/>
      <w:lang w:val="en-GB"/>
    </w:rPr>
  </w:style>
  <w:style w:type="character" w:customStyle="1" w:styleId="Kop5Char">
    <w:name w:val="Kop 5 Char"/>
    <w:basedOn w:val="Standaardalinea-lettertype"/>
    <w:link w:val="Kop5"/>
    <w:uiPriority w:val="9"/>
    <w:rsid w:val="00F37A85"/>
    <w:rPr>
      <w:rFonts w:ascii="Times New Roman" w:hAnsi="Times New Roman"/>
      <w:b/>
      <w:caps/>
      <w:lang w:val="en-GB"/>
    </w:rPr>
  </w:style>
  <w:style w:type="character" w:styleId="GevolgdeHyperlink">
    <w:name w:val="FollowedHyperlink"/>
    <w:basedOn w:val="Standaardalinea-lettertype"/>
    <w:uiPriority w:val="99"/>
    <w:semiHidden/>
    <w:unhideWhenUsed/>
    <w:rsid w:val="00EA0BB2"/>
    <w:rPr>
      <w:color w:val="954F72" w:themeColor="followedHyperlink"/>
      <w:u w:val="single"/>
    </w:rPr>
  </w:style>
  <w:style w:type="paragraph" w:customStyle="1" w:styleId="c36centre">
    <w:name w:val="c36centre"/>
    <w:basedOn w:val="Standaard"/>
    <w:rsid w:val="00761FF2"/>
    <w:pPr>
      <w:spacing w:before="100" w:beforeAutospacing="1" w:after="100" w:afterAutospacing="1"/>
    </w:pPr>
  </w:style>
  <w:style w:type="paragraph" w:customStyle="1" w:styleId="c02alineaalta">
    <w:name w:val="c02alineaalta"/>
    <w:basedOn w:val="Standaard"/>
    <w:rsid w:val="009E34C3"/>
    <w:pPr>
      <w:spacing w:before="100" w:beforeAutospacing="1" w:after="100" w:afterAutospacing="1"/>
    </w:pPr>
  </w:style>
  <w:style w:type="paragraph" w:customStyle="1" w:styleId="Bezodstpw1">
    <w:name w:val="Bez odstępów1"/>
    <w:rsid w:val="001B76A5"/>
    <w:pPr>
      <w:suppressAutoHyphens/>
      <w:spacing w:line="100" w:lineRule="atLeast"/>
    </w:pPr>
    <w:rPr>
      <w:rFonts w:ascii="Calibri" w:eastAsia="SimSun" w:hAnsi="Calibri" w:cs="font303"/>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3772">
      <w:bodyDiv w:val="1"/>
      <w:marLeft w:val="0"/>
      <w:marRight w:val="0"/>
      <w:marTop w:val="0"/>
      <w:marBottom w:val="0"/>
      <w:divBdr>
        <w:top w:val="none" w:sz="0" w:space="0" w:color="auto"/>
        <w:left w:val="none" w:sz="0" w:space="0" w:color="auto"/>
        <w:bottom w:val="none" w:sz="0" w:space="0" w:color="auto"/>
        <w:right w:val="none" w:sz="0" w:space="0" w:color="auto"/>
      </w:divBdr>
    </w:div>
    <w:div w:id="21250921">
      <w:bodyDiv w:val="1"/>
      <w:marLeft w:val="0"/>
      <w:marRight w:val="0"/>
      <w:marTop w:val="0"/>
      <w:marBottom w:val="0"/>
      <w:divBdr>
        <w:top w:val="none" w:sz="0" w:space="0" w:color="auto"/>
        <w:left w:val="none" w:sz="0" w:space="0" w:color="auto"/>
        <w:bottom w:val="none" w:sz="0" w:space="0" w:color="auto"/>
        <w:right w:val="none" w:sz="0" w:space="0" w:color="auto"/>
      </w:divBdr>
    </w:div>
    <w:div w:id="35080889">
      <w:bodyDiv w:val="1"/>
      <w:marLeft w:val="0"/>
      <w:marRight w:val="0"/>
      <w:marTop w:val="0"/>
      <w:marBottom w:val="0"/>
      <w:divBdr>
        <w:top w:val="none" w:sz="0" w:space="0" w:color="auto"/>
        <w:left w:val="none" w:sz="0" w:space="0" w:color="auto"/>
        <w:bottom w:val="none" w:sz="0" w:space="0" w:color="auto"/>
        <w:right w:val="none" w:sz="0" w:space="0" w:color="auto"/>
      </w:divBdr>
    </w:div>
    <w:div w:id="41953118">
      <w:bodyDiv w:val="1"/>
      <w:marLeft w:val="0"/>
      <w:marRight w:val="0"/>
      <w:marTop w:val="0"/>
      <w:marBottom w:val="0"/>
      <w:divBdr>
        <w:top w:val="none" w:sz="0" w:space="0" w:color="auto"/>
        <w:left w:val="none" w:sz="0" w:space="0" w:color="auto"/>
        <w:bottom w:val="none" w:sz="0" w:space="0" w:color="auto"/>
        <w:right w:val="none" w:sz="0" w:space="0" w:color="auto"/>
      </w:divBdr>
    </w:div>
    <w:div w:id="58141848">
      <w:bodyDiv w:val="1"/>
      <w:marLeft w:val="0"/>
      <w:marRight w:val="0"/>
      <w:marTop w:val="0"/>
      <w:marBottom w:val="0"/>
      <w:divBdr>
        <w:top w:val="none" w:sz="0" w:space="0" w:color="auto"/>
        <w:left w:val="none" w:sz="0" w:space="0" w:color="auto"/>
        <w:bottom w:val="none" w:sz="0" w:space="0" w:color="auto"/>
        <w:right w:val="none" w:sz="0" w:space="0" w:color="auto"/>
      </w:divBdr>
    </w:div>
    <w:div w:id="100027298">
      <w:bodyDiv w:val="1"/>
      <w:marLeft w:val="0"/>
      <w:marRight w:val="0"/>
      <w:marTop w:val="0"/>
      <w:marBottom w:val="0"/>
      <w:divBdr>
        <w:top w:val="none" w:sz="0" w:space="0" w:color="auto"/>
        <w:left w:val="none" w:sz="0" w:space="0" w:color="auto"/>
        <w:bottom w:val="none" w:sz="0" w:space="0" w:color="auto"/>
        <w:right w:val="none" w:sz="0" w:space="0" w:color="auto"/>
      </w:divBdr>
    </w:div>
    <w:div w:id="148132044">
      <w:bodyDiv w:val="1"/>
      <w:marLeft w:val="0"/>
      <w:marRight w:val="0"/>
      <w:marTop w:val="0"/>
      <w:marBottom w:val="0"/>
      <w:divBdr>
        <w:top w:val="none" w:sz="0" w:space="0" w:color="auto"/>
        <w:left w:val="none" w:sz="0" w:space="0" w:color="auto"/>
        <w:bottom w:val="none" w:sz="0" w:space="0" w:color="auto"/>
        <w:right w:val="none" w:sz="0" w:space="0" w:color="auto"/>
      </w:divBdr>
    </w:div>
    <w:div w:id="207376465">
      <w:bodyDiv w:val="1"/>
      <w:marLeft w:val="0"/>
      <w:marRight w:val="0"/>
      <w:marTop w:val="0"/>
      <w:marBottom w:val="0"/>
      <w:divBdr>
        <w:top w:val="none" w:sz="0" w:space="0" w:color="auto"/>
        <w:left w:val="none" w:sz="0" w:space="0" w:color="auto"/>
        <w:bottom w:val="none" w:sz="0" w:space="0" w:color="auto"/>
        <w:right w:val="none" w:sz="0" w:space="0" w:color="auto"/>
      </w:divBdr>
      <w:divsChild>
        <w:div w:id="856352">
          <w:marLeft w:val="0"/>
          <w:marRight w:val="0"/>
          <w:marTop w:val="0"/>
          <w:marBottom w:val="0"/>
          <w:divBdr>
            <w:top w:val="none" w:sz="0" w:space="0" w:color="auto"/>
            <w:left w:val="none" w:sz="0" w:space="0" w:color="auto"/>
            <w:bottom w:val="none" w:sz="0" w:space="0" w:color="auto"/>
            <w:right w:val="none" w:sz="0" w:space="0" w:color="auto"/>
          </w:divBdr>
          <w:divsChild>
            <w:div w:id="1972132263">
              <w:marLeft w:val="0"/>
              <w:marRight w:val="0"/>
              <w:marTop w:val="0"/>
              <w:marBottom w:val="0"/>
              <w:divBdr>
                <w:top w:val="none" w:sz="0" w:space="0" w:color="auto"/>
                <w:left w:val="none" w:sz="0" w:space="0" w:color="auto"/>
                <w:bottom w:val="none" w:sz="0" w:space="0" w:color="auto"/>
                <w:right w:val="none" w:sz="0" w:space="0" w:color="auto"/>
              </w:divBdr>
              <w:divsChild>
                <w:div w:id="699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8164">
      <w:bodyDiv w:val="1"/>
      <w:marLeft w:val="0"/>
      <w:marRight w:val="0"/>
      <w:marTop w:val="0"/>
      <w:marBottom w:val="0"/>
      <w:divBdr>
        <w:top w:val="none" w:sz="0" w:space="0" w:color="auto"/>
        <w:left w:val="none" w:sz="0" w:space="0" w:color="auto"/>
        <w:bottom w:val="none" w:sz="0" w:space="0" w:color="auto"/>
        <w:right w:val="none" w:sz="0" w:space="0" w:color="auto"/>
      </w:divBdr>
    </w:div>
    <w:div w:id="222255211">
      <w:bodyDiv w:val="1"/>
      <w:marLeft w:val="0"/>
      <w:marRight w:val="0"/>
      <w:marTop w:val="0"/>
      <w:marBottom w:val="0"/>
      <w:divBdr>
        <w:top w:val="none" w:sz="0" w:space="0" w:color="auto"/>
        <w:left w:val="none" w:sz="0" w:space="0" w:color="auto"/>
        <w:bottom w:val="none" w:sz="0" w:space="0" w:color="auto"/>
        <w:right w:val="none" w:sz="0" w:space="0" w:color="auto"/>
      </w:divBdr>
    </w:div>
    <w:div w:id="238370922">
      <w:bodyDiv w:val="1"/>
      <w:marLeft w:val="0"/>
      <w:marRight w:val="0"/>
      <w:marTop w:val="0"/>
      <w:marBottom w:val="0"/>
      <w:divBdr>
        <w:top w:val="none" w:sz="0" w:space="0" w:color="auto"/>
        <w:left w:val="none" w:sz="0" w:space="0" w:color="auto"/>
        <w:bottom w:val="none" w:sz="0" w:space="0" w:color="auto"/>
        <w:right w:val="none" w:sz="0" w:space="0" w:color="auto"/>
      </w:divBdr>
    </w:div>
    <w:div w:id="246960625">
      <w:bodyDiv w:val="1"/>
      <w:marLeft w:val="0"/>
      <w:marRight w:val="0"/>
      <w:marTop w:val="0"/>
      <w:marBottom w:val="0"/>
      <w:divBdr>
        <w:top w:val="none" w:sz="0" w:space="0" w:color="auto"/>
        <w:left w:val="none" w:sz="0" w:space="0" w:color="auto"/>
        <w:bottom w:val="none" w:sz="0" w:space="0" w:color="auto"/>
        <w:right w:val="none" w:sz="0" w:space="0" w:color="auto"/>
      </w:divBdr>
    </w:div>
    <w:div w:id="335231107">
      <w:bodyDiv w:val="1"/>
      <w:marLeft w:val="0"/>
      <w:marRight w:val="0"/>
      <w:marTop w:val="0"/>
      <w:marBottom w:val="0"/>
      <w:divBdr>
        <w:top w:val="none" w:sz="0" w:space="0" w:color="auto"/>
        <w:left w:val="none" w:sz="0" w:space="0" w:color="auto"/>
        <w:bottom w:val="none" w:sz="0" w:space="0" w:color="auto"/>
        <w:right w:val="none" w:sz="0" w:space="0" w:color="auto"/>
      </w:divBdr>
    </w:div>
    <w:div w:id="338851770">
      <w:bodyDiv w:val="1"/>
      <w:marLeft w:val="0"/>
      <w:marRight w:val="0"/>
      <w:marTop w:val="0"/>
      <w:marBottom w:val="0"/>
      <w:divBdr>
        <w:top w:val="none" w:sz="0" w:space="0" w:color="auto"/>
        <w:left w:val="none" w:sz="0" w:space="0" w:color="auto"/>
        <w:bottom w:val="none" w:sz="0" w:space="0" w:color="auto"/>
        <w:right w:val="none" w:sz="0" w:space="0" w:color="auto"/>
      </w:divBdr>
    </w:div>
    <w:div w:id="343871620">
      <w:bodyDiv w:val="1"/>
      <w:marLeft w:val="0"/>
      <w:marRight w:val="0"/>
      <w:marTop w:val="0"/>
      <w:marBottom w:val="0"/>
      <w:divBdr>
        <w:top w:val="none" w:sz="0" w:space="0" w:color="auto"/>
        <w:left w:val="none" w:sz="0" w:space="0" w:color="auto"/>
        <w:bottom w:val="none" w:sz="0" w:space="0" w:color="auto"/>
        <w:right w:val="none" w:sz="0" w:space="0" w:color="auto"/>
      </w:divBdr>
    </w:div>
    <w:div w:id="345332726">
      <w:bodyDiv w:val="1"/>
      <w:marLeft w:val="0"/>
      <w:marRight w:val="0"/>
      <w:marTop w:val="0"/>
      <w:marBottom w:val="0"/>
      <w:divBdr>
        <w:top w:val="none" w:sz="0" w:space="0" w:color="auto"/>
        <w:left w:val="none" w:sz="0" w:space="0" w:color="auto"/>
        <w:bottom w:val="none" w:sz="0" w:space="0" w:color="auto"/>
        <w:right w:val="none" w:sz="0" w:space="0" w:color="auto"/>
      </w:divBdr>
    </w:div>
    <w:div w:id="345985971">
      <w:bodyDiv w:val="1"/>
      <w:marLeft w:val="0"/>
      <w:marRight w:val="0"/>
      <w:marTop w:val="0"/>
      <w:marBottom w:val="0"/>
      <w:divBdr>
        <w:top w:val="none" w:sz="0" w:space="0" w:color="auto"/>
        <w:left w:val="none" w:sz="0" w:space="0" w:color="auto"/>
        <w:bottom w:val="none" w:sz="0" w:space="0" w:color="auto"/>
        <w:right w:val="none" w:sz="0" w:space="0" w:color="auto"/>
      </w:divBdr>
    </w:div>
    <w:div w:id="347603450">
      <w:bodyDiv w:val="1"/>
      <w:marLeft w:val="0"/>
      <w:marRight w:val="0"/>
      <w:marTop w:val="0"/>
      <w:marBottom w:val="0"/>
      <w:divBdr>
        <w:top w:val="none" w:sz="0" w:space="0" w:color="auto"/>
        <w:left w:val="none" w:sz="0" w:space="0" w:color="auto"/>
        <w:bottom w:val="none" w:sz="0" w:space="0" w:color="auto"/>
        <w:right w:val="none" w:sz="0" w:space="0" w:color="auto"/>
      </w:divBdr>
    </w:div>
    <w:div w:id="377432255">
      <w:bodyDiv w:val="1"/>
      <w:marLeft w:val="0"/>
      <w:marRight w:val="0"/>
      <w:marTop w:val="0"/>
      <w:marBottom w:val="0"/>
      <w:divBdr>
        <w:top w:val="none" w:sz="0" w:space="0" w:color="auto"/>
        <w:left w:val="none" w:sz="0" w:space="0" w:color="auto"/>
        <w:bottom w:val="none" w:sz="0" w:space="0" w:color="auto"/>
        <w:right w:val="none" w:sz="0" w:space="0" w:color="auto"/>
      </w:divBdr>
    </w:div>
    <w:div w:id="380133273">
      <w:bodyDiv w:val="1"/>
      <w:marLeft w:val="0"/>
      <w:marRight w:val="0"/>
      <w:marTop w:val="0"/>
      <w:marBottom w:val="0"/>
      <w:divBdr>
        <w:top w:val="none" w:sz="0" w:space="0" w:color="auto"/>
        <w:left w:val="none" w:sz="0" w:space="0" w:color="auto"/>
        <w:bottom w:val="none" w:sz="0" w:space="0" w:color="auto"/>
        <w:right w:val="none" w:sz="0" w:space="0" w:color="auto"/>
      </w:divBdr>
    </w:div>
    <w:div w:id="396631526">
      <w:bodyDiv w:val="1"/>
      <w:marLeft w:val="0"/>
      <w:marRight w:val="0"/>
      <w:marTop w:val="0"/>
      <w:marBottom w:val="0"/>
      <w:divBdr>
        <w:top w:val="none" w:sz="0" w:space="0" w:color="auto"/>
        <w:left w:val="none" w:sz="0" w:space="0" w:color="auto"/>
        <w:bottom w:val="none" w:sz="0" w:space="0" w:color="auto"/>
        <w:right w:val="none" w:sz="0" w:space="0" w:color="auto"/>
      </w:divBdr>
    </w:div>
    <w:div w:id="408158424">
      <w:bodyDiv w:val="1"/>
      <w:marLeft w:val="0"/>
      <w:marRight w:val="0"/>
      <w:marTop w:val="0"/>
      <w:marBottom w:val="0"/>
      <w:divBdr>
        <w:top w:val="none" w:sz="0" w:space="0" w:color="auto"/>
        <w:left w:val="none" w:sz="0" w:space="0" w:color="auto"/>
        <w:bottom w:val="none" w:sz="0" w:space="0" w:color="auto"/>
        <w:right w:val="none" w:sz="0" w:space="0" w:color="auto"/>
      </w:divBdr>
    </w:div>
    <w:div w:id="413473303">
      <w:bodyDiv w:val="1"/>
      <w:marLeft w:val="0"/>
      <w:marRight w:val="0"/>
      <w:marTop w:val="0"/>
      <w:marBottom w:val="0"/>
      <w:divBdr>
        <w:top w:val="none" w:sz="0" w:space="0" w:color="auto"/>
        <w:left w:val="none" w:sz="0" w:space="0" w:color="auto"/>
        <w:bottom w:val="none" w:sz="0" w:space="0" w:color="auto"/>
        <w:right w:val="none" w:sz="0" w:space="0" w:color="auto"/>
      </w:divBdr>
    </w:div>
    <w:div w:id="431516426">
      <w:bodyDiv w:val="1"/>
      <w:marLeft w:val="0"/>
      <w:marRight w:val="0"/>
      <w:marTop w:val="0"/>
      <w:marBottom w:val="0"/>
      <w:divBdr>
        <w:top w:val="none" w:sz="0" w:space="0" w:color="auto"/>
        <w:left w:val="none" w:sz="0" w:space="0" w:color="auto"/>
        <w:bottom w:val="none" w:sz="0" w:space="0" w:color="auto"/>
        <w:right w:val="none" w:sz="0" w:space="0" w:color="auto"/>
      </w:divBdr>
    </w:div>
    <w:div w:id="454374271">
      <w:bodyDiv w:val="1"/>
      <w:marLeft w:val="0"/>
      <w:marRight w:val="0"/>
      <w:marTop w:val="0"/>
      <w:marBottom w:val="0"/>
      <w:divBdr>
        <w:top w:val="none" w:sz="0" w:space="0" w:color="auto"/>
        <w:left w:val="none" w:sz="0" w:space="0" w:color="auto"/>
        <w:bottom w:val="none" w:sz="0" w:space="0" w:color="auto"/>
        <w:right w:val="none" w:sz="0" w:space="0" w:color="auto"/>
      </w:divBdr>
    </w:div>
    <w:div w:id="456069148">
      <w:bodyDiv w:val="1"/>
      <w:marLeft w:val="0"/>
      <w:marRight w:val="0"/>
      <w:marTop w:val="0"/>
      <w:marBottom w:val="0"/>
      <w:divBdr>
        <w:top w:val="none" w:sz="0" w:space="0" w:color="auto"/>
        <w:left w:val="none" w:sz="0" w:space="0" w:color="auto"/>
        <w:bottom w:val="none" w:sz="0" w:space="0" w:color="auto"/>
        <w:right w:val="none" w:sz="0" w:space="0" w:color="auto"/>
      </w:divBdr>
    </w:div>
    <w:div w:id="481391311">
      <w:bodyDiv w:val="1"/>
      <w:marLeft w:val="0"/>
      <w:marRight w:val="0"/>
      <w:marTop w:val="0"/>
      <w:marBottom w:val="0"/>
      <w:divBdr>
        <w:top w:val="none" w:sz="0" w:space="0" w:color="auto"/>
        <w:left w:val="none" w:sz="0" w:space="0" w:color="auto"/>
        <w:bottom w:val="none" w:sz="0" w:space="0" w:color="auto"/>
        <w:right w:val="none" w:sz="0" w:space="0" w:color="auto"/>
      </w:divBdr>
    </w:div>
    <w:div w:id="504320703">
      <w:bodyDiv w:val="1"/>
      <w:marLeft w:val="0"/>
      <w:marRight w:val="0"/>
      <w:marTop w:val="0"/>
      <w:marBottom w:val="0"/>
      <w:divBdr>
        <w:top w:val="none" w:sz="0" w:space="0" w:color="auto"/>
        <w:left w:val="none" w:sz="0" w:space="0" w:color="auto"/>
        <w:bottom w:val="none" w:sz="0" w:space="0" w:color="auto"/>
        <w:right w:val="none" w:sz="0" w:space="0" w:color="auto"/>
      </w:divBdr>
    </w:div>
    <w:div w:id="541597077">
      <w:bodyDiv w:val="1"/>
      <w:marLeft w:val="0"/>
      <w:marRight w:val="0"/>
      <w:marTop w:val="0"/>
      <w:marBottom w:val="0"/>
      <w:divBdr>
        <w:top w:val="none" w:sz="0" w:space="0" w:color="auto"/>
        <w:left w:val="none" w:sz="0" w:space="0" w:color="auto"/>
        <w:bottom w:val="none" w:sz="0" w:space="0" w:color="auto"/>
        <w:right w:val="none" w:sz="0" w:space="0" w:color="auto"/>
      </w:divBdr>
      <w:divsChild>
        <w:div w:id="296419866">
          <w:marLeft w:val="0"/>
          <w:marRight w:val="0"/>
          <w:marTop w:val="0"/>
          <w:marBottom w:val="0"/>
          <w:divBdr>
            <w:top w:val="none" w:sz="0" w:space="0" w:color="auto"/>
            <w:left w:val="none" w:sz="0" w:space="0" w:color="auto"/>
            <w:bottom w:val="none" w:sz="0" w:space="0" w:color="auto"/>
            <w:right w:val="none" w:sz="0" w:space="0" w:color="auto"/>
          </w:divBdr>
          <w:divsChild>
            <w:div w:id="515732488">
              <w:marLeft w:val="0"/>
              <w:marRight w:val="0"/>
              <w:marTop w:val="0"/>
              <w:marBottom w:val="0"/>
              <w:divBdr>
                <w:top w:val="none" w:sz="0" w:space="0" w:color="auto"/>
                <w:left w:val="none" w:sz="0" w:space="0" w:color="auto"/>
                <w:bottom w:val="none" w:sz="0" w:space="0" w:color="auto"/>
                <w:right w:val="none" w:sz="0" w:space="0" w:color="auto"/>
              </w:divBdr>
              <w:divsChild>
                <w:div w:id="15938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5811">
      <w:bodyDiv w:val="1"/>
      <w:marLeft w:val="0"/>
      <w:marRight w:val="0"/>
      <w:marTop w:val="0"/>
      <w:marBottom w:val="0"/>
      <w:divBdr>
        <w:top w:val="none" w:sz="0" w:space="0" w:color="auto"/>
        <w:left w:val="none" w:sz="0" w:space="0" w:color="auto"/>
        <w:bottom w:val="none" w:sz="0" w:space="0" w:color="auto"/>
        <w:right w:val="none" w:sz="0" w:space="0" w:color="auto"/>
      </w:divBdr>
    </w:div>
    <w:div w:id="560022398">
      <w:bodyDiv w:val="1"/>
      <w:marLeft w:val="0"/>
      <w:marRight w:val="0"/>
      <w:marTop w:val="0"/>
      <w:marBottom w:val="0"/>
      <w:divBdr>
        <w:top w:val="none" w:sz="0" w:space="0" w:color="auto"/>
        <w:left w:val="none" w:sz="0" w:space="0" w:color="auto"/>
        <w:bottom w:val="none" w:sz="0" w:space="0" w:color="auto"/>
        <w:right w:val="none" w:sz="0" w:space="0" w:color="auto"/>
      </w:divBdr>
    </w:div>
    <w:div w:id="601643503">
      <w:bodyDiv w:val="1"/>
      <w:marLeft w:val="0"/>
      <w:marRight w:val="0"/>
      <w:marTop w:val="0"/>
      <w:marBottom w:val="0"/>
      <w:divBdr>
        <w:top w:val="none" w:sz="0" w:space="0" w:color="auto"/>
        <w:left w:val="none" w:sz="0" w:space="0" w:color="auto"/>
        <w:bottom w:val="none" w:sz="0" w:space="0" w:color="auto"/>
        <w:right w:val="none" w:sz="0" w:space="0" w:color="auto"/>
      </w:divBdr>
    </w:div>
    <w:div w:id="605502448">
      <w:bodyDiv w:val="1"/>
      <w:marLeft w:val="0"/>
      <w:marRight w:val="0"/>
      <w:marTop w:val="0"/>
      <w:marBottom w:val="0"/>
      <w:divBdr>
        <w:top w:val="none" w:sz="0" w:space="0" w:color="auto"/>
        <w:left w:val="none" w:sz="0" w:space="0" w:color="auto"/>
        <w:bottom w:val="none" w:sz="0" w:space="0" w:color="auto"/>
        <w:right w:val="none" w:sz="0" w:space="0" w:color="auto"/>
      </w:divBdr>
      <w:divsChild>
        <w:div w:id="1540241593">
          <w:marLeft w:val="0"/>
          <w:marRight w:val="0"/>
          <w:marTop w:val="0"/>
          <w:marBottom w:val="0"/>
          <w:divBdr>
            <w:top w:val="none" w:sz="0" w:space="0" w:color="auto"/>
            <w:left w:val="none" w:sz="0" w:space="0" w:color="auto"/>
            <w:bottom w:val="none" w:sz="0" w:space="0" w:color="auto"/>
            <w:right w:val="none" w:sz="0" w:space="0" w:color="auto"/>
          </w:divBdr>
          <w:divsChild>
            <w:div w:id="700283091">
              <w:marLeft w:val="0"/>
              <w:marRight w:val="0"/>
              <w:marTop w:val="0"/>
              <w:marBottom w:val="0"/>
              <w:divBdr>
                <w:top w:val="none" w:sz="0" w:space="0" w:color="auto"/>
                <w:left w:val="none" w:sz="0" w:space="0" w:color="auto"/>
                <w:bottom w:val="none" w:sz="0" w:space="0" w:color="auto"/>
                <w:right w:val="none" w:sz="0" w:space="0" w:color="auto"/>
              </w:divBdr>
              <w:divsChild>
                <w:div w:id="19110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3006">
      <w:bodyDiv w:val="1"/>
      <w:marLeft w:val="0"/>
      <w:marRight w:val="0"/>
      <w:marTop w:val="0"/>
      <w:marBottom w:val="0"/>
      <w:divBdr>
        <w:top w:val="none" w:sz="0" w:space="0" w:color="auto"/>
        <w:left w:val="none" w:sz="0" w:space="0" w:color="auto"/>
        <w:bottom w:val="none" w:sz="0" w:space="0" w:color="auto"/>
        <w:right w:val="none" w:sz="0" w:space="0" w:color="auto"/>
      </w:divBdr>
    </w:div>
    <w:div w:id="614409281">
      <w:bodyDiv w:val="1"/>
      <w:marLeft w:val="0"/>
      <w:marRight w:val="0"/>
      <w:marTop w:val="0"/>
      <w:marBottom w:val="0"/>
      <w:divBdr>
        <w:top w:val="none" w:sz="0" w:space="0" w:color="auto"/>
        <w:left w:val="none" w:sz="0" w:space="0" w:color="auto"/>
        <w:bottom w:val="none" w:sz="0" w:space="0" w:color="auto"/>
        <w:right w:val="none" w:sz="0" w:space="0" w:color="auto"/>
      </w:divBdr>
    </w:div>
    <w:div w:id="620691468">
      <w:bodyDiv w:val="1"/>
      <w:marLeft w:val="0"/>
      <w:marRight w:val="0"/>
      <w:marTop w:val="0"/>
      <w:marBottom w:val="0"/>
      <w:divBdr>
        <w:top w:val="none" w:sz="0" w:space="0" w:color="auto"/>
        <w:left w:val="none" w:sz="0" w:space="0" w:color="auto"/>
        <w:bottom w:val="none" w:sz="0" w:space="0" w:color="auto"/>
        <w:right w:val="none" w:sz="0" w:space="0" w:color="auto"/>
      </w:divBdr>
    </w:div>
    <w:div w:id="630944461">
      <w:bodyDiv w:val="1"/>
      <w:marLeft w:val="0"/>
      <w:marRight w:val="0"/>
      <w:marTop w:val="0"/>
      <w:marBottom w:val="0"/>
      <w:divBdr>
        <w:top w:val="none" w:sz="0" w:space="0" w:color="auto"/>
        <w:left w:val="none" w:sz="0" w:space="0" w:color="auto"/>
        <w:bottom w:val="none" w:sz="0" w:space="0" w:color="auto"/>
        <w:right w:val="none" w:sz="0" w:space="0" w:color="auto"/>
      </w:divBdr>
    </w:div>
    <w:div w:id="639380095">
      <w:bodyDiv w:val="1"/>
      <w:marLeft w:val="0"/>
      <w:marRight w:val="0"/>
      <w:marTop w:val="0"/>
      <w:marBottom w:val="0"/>
      <w:divBdr>
        <w:top w:val="none" w:sz="0" w:space="0" w:color="auto"/>
        <w:left w:val="none" w:sz="0" w:space="0" w:color="auto"/>
        <w:bottom w:val="none" w:sz="0" w:space="0" w:color="auto"/>
        <w:right w:val="none" w:sz="0" w:space="0" w:color="auto"/>
      </w:divBdr>
    </w:div>
    <w:div w:id="660351719">
      <w:bodyDiv w:val="1"/>
      <w:marLeft w:val="0"/>
      <w:marRight w:val="0"/>
      <w:marTop w:val="0"/>
      <w:marBottom w:val="0"/>
      <w:divBdr>
        <w:top w:val="none" w:sz="0" w:space="0" w:color="auto"/>
        <w:left w:val="none" w:sz="0" w:space="0" w:color="auto"/>
        <w:bottom w:val="none" w:sz="0" w:space="0" w:color="auto"/>
        <w:right w:val="none" w:sz="0" w:space="0" w:color="auto"/>
      </w:divBdr>
    </w:div>
    <w:div w:id="661086747">
      <w:bodyDiv w:val="1"/>
      <w:marLeft w:val="0"/>
      <w:marRight w:val="0"/>
      <w:marTop w:val="0"/>
      <w:marBottom w:val="0"/>
      <w:divBdr>
        <w:top w:val="none" w:sz="0" w:space="0" w:color="auto"/>
        <w:left w:val="none" w:sz="0" w:space="0" w:color="auto"/>
        <w:bottom w:val="none" w:sz="0" w:space="0" w:color="auto"/>
        <w:right w:val="none" w:sz="0" w:space="0" w:color="auto"/>
      </w:divBdr>
    </w:div>
    <w:div w:id="676155800">
      <w:bodyDiv w:val="1"/>
      <w:marLeft w:val="0"/>
      <w:marRight w:val="0"/>
      <w:marTop w:val="0"/>
      <w:marBottom w:val="0"/>
      <w:divBdr>
        <w:top w:val="none" w:sz="0" w:space="0" w:color="auto"/>
        <w:left w:val="none" w:sz="0" w:space="0" w:color="auto"/>
        <w:bottom w:val="none" w:sz="0" w:space="0" w:color="auto"/>
        <w:right w:val="none" w:sz="0" w:space="0" w:color="auto"/>
      </w:divBdr>
    </w:div>
    <w:div w:id="706442894">
      <w:bodyDiv w:val="1"/>
      <w:marLeft w:val="0"/>
      <w:marRight w:val="0"/>
      <w:marTop w:val="0"/>
      <w:marBottom w:val="0"/>
      <w:divBdr>
        <w:top w:val="none" w:sz="0" w:space="0" w:color="auto"/>
        <w:left w:val="none" w:sz="0" w:space="0" w:color="auto"/>
        <w:bottom w:val="none" w:sz="0" w:space="0" w:color="auto"/>
        <w:right w:val="none" w:sz="0" w:space="0" w:color="auto"/>
      </w:divBdr>
      <w:divsChild>
        <w:div w:id="1416514656">
          <w:marLeft w:val="0"/>
          <w:marRight w:val="0"/>
          <w:marTop w:val="0"/>
          <w:marBottom w:val="0"/>
          <w:divBdr>
            <w:top w:val="none" w:sz="0" w:space="0" w:color="auto"/>
            <w:left w:val="none" w:sz="0" w:space="0" w:color="auto"/>
            <w:bottom w:val="none" w:sz="0" w:space="0" w:color="auto"/>
            <w:right w:val="none" w:sz="0" w:space="0" w:color="auto"/>
          </w:divBdr>
          <w:divsChild>
            <w:div w:id="1652637646">
              <w:marLeft w:val="0"/>
              <w:marRight w:val="0"/>
              <w:marTop w:val="0"/>
              <w:marBottom w:val="0"/>
              <w:divBdr>
                <w:top w:val="none" w:sz="0" w:space="0" w:color="auto"/>
                <w:left w:val="none" w:sz="0" w:space="0" w:color="auto"/>
                <w:bottom w:val="none" w:sz="0" w:space="0" w:color="auto"/>
                <w:right w:val="none" w:sz="0" w:space="0" w:color="auto"/>
              </w:divBdr>
              <w:divsChild>
                <w:div w:id="19762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9846">
      <w:bodyDiv w:val="1"/>
      <w:marLeft w:val="0"/>
      <w:marRight w:val="0"/>
      <w:marTop w:val="0"/>
      <w:marBottom w:val="0"/>
      <w:divBdr>
        <w:top w:val="none" w:sz="0" w:space="0" w:color="auto"/>
        <w:left w:val="none" w:sz="0" w:space="0" w:color="auto"/>
        <w:bottom w:val="none" w:sz="0" w:space="0" w:color="auto"/>
        <w:right w:val="none" w:sz="0" w:space="0" w:color="auto"/>
      </w:divBdr>
    </w:div>
    <w:div w:id="781876018">
      <w:bodyDiv w:val="1"/>
      <w:marLeft w:val="0"/>
      <w:marRight w:val="0"/>
      <w:marTop w:val="0"/>
      <w:marBottom w:val="0"/>
      <w:divBdr>
        <w:top w:val="none" w:sz="0" w:space="0" w:color="auto"/>
        <w:left w:val="none" w:sz="0" w:space="0" w:color="auto"/>
        <w:bottom w:val="none" w:sz="0" w:space="0" w:color="auto"/>
        <w:right w:val="none" w:sz="0" w:space="0" w:color="auto"/>
      </w:divBdr>
      <w:divsChild>
        <w:div w:id="121576634">
          <w:marLeft w:val="0"/>
          <w:marRight w:val="0"/>
          <w:marTop w:val="0"/>
          <w:marBottom w:val="0"/>
          <w:divBdr>
            <w:top w:val="none" w:sz="0" w:space="0" w:color="auto"/>
            <w:left w:val="none" w:sz="0" w:space="0" w:color="auto"/>
            <w:bottom w:val="none" w:sz="0" w:space="0" w:color="auto"/>
            <w:right w:val="none" w:sz="0" w:space="0" w:color="auto"/>
          </w:divBdr>
          <w:divsChild>
            <w:div w:id="258876682">
              <w:marLeft w:val="0"/>
              <w:marRight w:val="0"/>
              <w:marTop w:val="0"/>
              <w:marBottom w:val="0"/>
              <w:divBdr>
                <w:top w:val="none" w:sz="0" w:space="0" w:color="auto"/>
                <w:left w:val="none" w:sz="0" w:space="0" w:color="auto"/>
                <w:bottom w:val="none" w:sz="0" w:space="0" w:color="auto"/>
                <w:right w:val="none" w:sz="0" w:space="0" w:color="auto"/>
              </w:divBdr>
              <w:divsChild>
                <w:div w:id="5671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20581">
      <w:bodyDiv w:val="1"/>
      <w:marLeft w:val="0"/>
      <w:marRight w:val="0"/>
      <w:marTop w:val="0"/>
      <w:marBottom w:val="0"/>
      <w:divBdr>
        <w:top w:val="none" w:sz="0" w:space="0" w:color="auto"/>
        <w:left w:val="none" w:sz="0" w:space="0" w:color="auto"/>
        <w:bottom w:val="none" w:sz="0" w:space="0" w:color="auto"/>
        <w:right w:val="none" w:sz="0" w:space="0" w:color="auto"/>
      </w:divBdr>
    </w:div>
    <w:div w:id="800465065">
      <w:bodyDiv w:val="1"/>
      <w:marLeft w:val="0"/>
      <w:marRight w:val="0"/>
      <w:marTop w:val="0"/>
      <w:marBottom w:val="0"/>
      <w:divBdr>
        <w:top w:val="none" w:sz="0" w:space="0" w:color="auto"/>
        <w:left w:val="none" w:sz="0" w:space="0" w:color="auto"/>
        <w:bottom w:val="none" w:sz="0" w:space="0" w:color="auto"/>
        <w:right w:val="none" w:sz="0" w:space="0" w:color="auto"/>
      </w:divBdr>
      <w:divsChild>
        <w:div w:id="399134910">
          <w:marLeft w:val="0"/>
          <w:marRight w:val="0"/>
          <w:marTop w:val="0"/>
          <w:marBottom w:val="0"/>
          <w:divBdr>
            <w:top w:val="none" w:sz="0" w:space="0" w:color="auto"/>
            <w:left w:val="none" w:sz="0" w:space="0" w:color="auto"/>
            <w:bottom w:val="none" w:sz="0" w:space="0" w:color="auto"/>
            <w:right w:val="none" w:sz="0" w:space="0" w:color="auto"/>
          </w:divBdr>
          <w:divsChild>
            <w:div w:id="1135610958">
              <w:marLeft w:val="0"/>
              <w:marRight w:val="0"/>
              <w:marTop w:val="0"/>
              <w:marBottom w:val="0"/>
              <w:divBdr>
                <w:top w:val="none" w:sz="0" w:space="0" w:color="auto"/>
                <w:left w:val="none" w:sz="0" w:space="0" w:color="auto"/>
                <w:bottom w:val="none" w:sz="0" w:space="0" w:color="auto"/>
                <w:right w:val="none" w:sz="0" w:space="0" w:color="auto"/>
              </w:divBdr>
              <w:divsChild>
                <w:div w:id="7231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89832">
      <w:bodyDiv w:val="1"/>
      <w:marLeft w:val="0"/>
      <w:marRight w:val="0"/>
      <w:marTop w:val="0"/>
      <w:marBottom w:val="0"/>
      <w:divBdr>
        <w:top w:val="none" w:sz="0" w:space="0" w:color="auto"/>
        <w:left w:val="none" w:sz="0" w:space="0" w:color="auto"/>
        <w:bottom w:val="none" w:sz="0" w:space="0" w:color="auto"/>
        <w:right w:val="none" w:sz="0" w:space="0" w:color="auto"/>
      </w:divBdr>
      <w:divsChild>
        <w:div w:id="1442609135">
          <w:marLeft w:val="0"/>
          <w:marRight w:val="0"/>
          <w:marTop w:val="0"/>
          <w:marBottom w:val="0"/>
          <w:divBdr>
            <w:top w:val="none" w:sz="0" w:space="0" w:color="auto"/>
            <w:left w:val="none" w:sz="0" w:space="0" w:color="auto"/>
            <w:bottom w:val="none" w:sz="0" w:space="0" w:color="auto"/>
            <w:right w:val="none" w:sz="0" w:space="0" w:color="auto"/>
          </w:divBdr>
          <w:divsChild>
            <w:div w:id="778985517">
              <w:marLeft w:val="0"/>
              <w:marRight w:val="0"/>
              <w:marTop w:val="0"/>
              <w:marBottom w:val="0"/>
              <w:divBdr>
                <w:top w:val="none" w:sz="0" w:space="0" w:color="auto"/>
                <w:left w:val="none" w:sz="0" w:space="0" w:color="auto"/>
                <w:bottom w:val="none" w:sz="0" w:space="0" w:color="auto"/>
                <w:right w:val="none" w:sz="0" w:space="0" w:color="auto"/>
              </w:divBdr>
              <w:divsChild>
                <w:div w:id="644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3462">
      <w:bodyDiv w:val="1"/>
      <w:marLeft w:val="0"/>
      <w:marRight w:val="0"/>
      <w:marTop w:val="0"/>
      <w:marBottom w:val="0"/>
      <w:divBdr>
        <w:top w:val="none" w:sz="0" w:space="0" w:color="auto"/>
        <w:left w:val="none" w:sz="0" w:space="0" w:color="auto"/>
        <w:bottom w:val="none" w:sz="0" w:space="0" w:color="auto"/>
        <w:right w:val="none" w:sz="0" w:space="0" w:color="auto"/>
      </w:divBdr>
    </w:div>
    <w:div w:id="853223401">
      <w:bodyDiv w:val="1"/>
      <w:marLeft w:val="0"/>
      <w:marRight w:val="0"/>
      <w:marTop w:val="0"/>
      <w:marBottom w:val="0"/>
      <w:divBdr>
        <w:top w:val="none" w:sz="0" w:space="0" w:color="auto"/>
        <w:left w:val="none" w:sz="0" w:space="0" w:color="auto"/>
        <w:bottom w:val="none" w:sz="0" w:space="0" w:color="auto"/>
        <w:right w:val="none" w:sz="0" w:space="0" w:color="auto"/>
      </w:divBdr>
    </w:div>
    <w:div w:id="855389001">
      <w:bodyDiv w:val="1"/>
      <w:marLeft w:val="0"/>
      <w:marRight w:val="0"/>
      <w:marTop w:val="0"/>
      <w:marBottom w:val="0"/>
      <w:divBdr>
        <w:top w:val="none" w:sz="0" w:space="0" w:color="auto"/>
        <w:left w:val="none" w:sz="0" w:space="0" w:color="auto"/>
        <w:bottom w:val="none" w:sz="0" w:space="0" w:color="auto"/>
        <w:right w:val="none" w:sz="0" w:space="0" w:color="auto"/>
      </w:divBdr>
      <w:divsChild>
        <w:div w:id="934561191">
          <w:marLeft w:val="0"/>
          <w:marRight w:val="0"/>
          <w:marTop w:val="0"/>
          <w:marBottom w:val="0"/>
          <w:divBdr>
            <w:top w:val="none" w:sz="0" w:space="0" w:color="auto"/>
            <w:left w:val="none" w:sz="0" w:space="0" w:color="auto"/>
            <w:bottom w:val="none" w:sz="0" w:space="0" w:color="auto"/>
            <w:right w:val="none" w:sz="0" w:space="0" w:color="auto"/>
          </w:divBdr>
          <w:divsChild>
            <w:div w:id="933440013">
              <w:marLeft w:val="0"/>
              <w:marRight w:val="0"/>
              <w:marTop w:val="0"/>
              <w:marBottom w:val="0"/>
              <w:divBdr>
                <w:top w:val="none" w:sz="0" w:space="0" w:color="auto"/>
                <w:left w:val="none" w:sz="0" w:space="0" w:color="auto"/>
                <w:bottom w:val="none" w:sz="0" w:space="0" w:color="auto"/>
                <w:right w:val="none" w:sz="0" w:space="0" w:color="auto"/>
              </w:divBdr>
              <w:divsChild>
                <w:div w:id="10784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50148">
      <w:bodyDiv w:val="1"/>
      <w:marLeft w:val="0"/>
      <w:marRight w:val="0"/>
      <w:marTop w:val="0"/>
      <w:marBottom w:val="0"/>
      <w:divBdr>
        <w:top w:val="none" w:sz="0" w:space="0" w:color="auto"/>
        <w:left w:val="none" w:sz="0" w:space="0" w:color="auto"/>
        <w:bottom w:val="none" w:sz="0" w:space="0" w:color="auto"/>
        <w:right w:val="none" w:sz="0" w:space="0" w:color="auto"/>
      </w:divBdr>
    </w:div>
    <w:div w:id="897131681">
      <w:bodyDiv w:val="1"/>
      <w:marLeft w:val="0"/>
      <w:marRight w:val="0"/>
      <w:marTop w:val="0"/>
      <w:marBottom w:val="0"/>
      <w:divBdr>
        <w:top w:val="none" w:sz="0" w:space="0" w:color="auto"/>
        <w:left w:val="none" w:sz="0" w:space="0" w:color="auto"/>
        <w:bottom w:val="none" w:sz="0" w:space="0" w:color="auto"/>
        <w:right w:val="none" w:sz="0" w:space="0" w:color="auto"/>
      </w:divBdr>
      <w:divsChild>
        <w:div w:id="771971393">
          <w:marLeft w:val="0"/>
          <w:marRight w:val="0"/>
          <w:marTop w:val="0"/>
          <w:marBottom w:val="0"/>
          <w:divBdr>
            <w:top w:val="none" w:sz="0" w:space="0" w:color="auto"/>
            <w:left w:val="none" w:sz="0" w:space="0" w:color="auto"/>
            <w:bottom w:val="none" w:sz="0" w:space="0" w:color="auto"/>
            <w:right w:val="none" w:sz="0" w:space="0" w:color="auto"/>
          </w:divBdr>
          <w:divsChild>
            <w:div w:id="69087607">
              <w:marLeft w:val="0"/>
              <w:marRight w:val="0"/>
              <w:marTop w:val="0"/>
              <w:marBottom w:val="0"/>
              <w:divBdr>
                <w:top w:val="none" w:sz="0" w:space="0" w:color="auto"/>
                <w:left w:val="none" w:sz="0" w:space="0" w:color="auto"/>
                <w:bottom w:val="none" w:sz="0" w:space="0" w:color="auto"/>
                <w:right w:val="none" w:sz="0" w:space="0" w:color="auto"/>
              </w:divBdr>
              <w:divsChild>
                <w:div w:id="19540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8593">
      <w:bodyDiv w:val="1"/>
      <w:marLeft w:val="0"/>
      <w:marRight w:val="0"/>
      <w:marTop w:val="0"/>
      <w:marBottom w:val="0"/>
      <w:divBdr>
        <w:top w:val="none" w:sz="0" w:space="0" w:color="auto"/>
        <w:left w:val="none" w:sz="0" w:space="0" w:color="auto"/>
        <w:bottom w:val="none" w:sz="0" w:space="0" w:color="auto"/>
        <w:right w:val="none" w:sz="0" w:space="0" w:color="auto"/>
      </w:divBdr>
    </w:div>
    <w:div w:id="930087485">
      <w:bodyDiv w:val="1"/>
      <w:marLeft w:val="0"/>
      <w:marRight w:val="0"/>
      <w:marTop w:val="0"/>
      <w:marBottom w:val="0"/>
      <w:divBdr>
        <w:top w:val="none" w:sz="0" w:space="0" w:color="auto"/>
        <w:left w:val="none" w:sz="0" w:space="0" w:color="auto"/>
        <w:bottom w:val="none" w:sz="0" w:space="0" w:color="auto"/>
        <w:right w:val="none" w:sz="0" w:space="0" w:color="auto"/>
      </w:divBdr>
    </w:div>
    <w:div w:id="951858223">
      <w:bodyDiv w:val="1"/>
      <w:marLeft w:val="0"/>
      <w:marRight w:val="0"/>
      <w:marTop w:val="0"/>
      <w:marBottom w:val="0"/>
      <w:divBdr>
        <w:top w:val="none" w:sz="0" w:space="0" w:color="auto"/>
        <w:left w:val="none" w:sz="0" w:space="0" w:color="auto"/>
        <w:bottom w:val="none" w:sz="0" w:space="0" w:color="auto"/>
        <w:right w:val="none" w:sz="0" w:space="0" w:color="auto"/>
      </w:divBdr>
    </w:div>
    <w:div w:id="1012102752">
      <w:bodyDiv w:val="1"/>
      <w:marLeft w:val="0"/>
      <w:marRight w:val="0"/>
      <w:marTop w:val="0"/>
      <w:marBottom w:val="0"/>
      <w:divBdr>
        <w:top w:val="none" w:sz="0" w:space="0" w:color="auto"/>
        <w:left w:val="none" w:sz="0" w:space="0" w:color="auto"/>
        <w:bottom w:val="none" w:sz="0" w:space="0" w:color="auto"/>
        <w:right w:val="none" w:sz="0" w:space="0" w:color="auto"/>
      </w:divBdr>
    </w:div>
    <w:div w:id="1024862004">
      <w:bodyDiv w:val="1"/>
      <w:marLeft w:val="0"/>
      <w:marRight w:val="0"/>
      <w:marTop w:val="0"/>
      <w:marBottom w:val="0"/>
      <w:divBdr>
        <w:top w:val="none" w:sz="0" w:space="0" w:color="auto"/>
        <w:left w:val="none" w:sz="0" w:space="0" w:color="auto"/>
        <w:bottom w:val="none" w:sz="0" w:space="0" w:color="auto"/>
        <w:right w:val="none" w:sz="0" w:space="0" w:color="auto"/>
      </w:divBdr>
    </w:div>
    <w:div w:id="1027484332">
      <w:bodyDiv w:val="1"/>
      <w:marLeft w:val="0"/>
      <w:marRight w:val="0"/>
      <w:marTop w:val="0"/>
      <w:marBottom w:val="0"/>
      <w:divBdr>
        <w:top w:val="none" w:sz="0" w:space="0" w:color="auto"/>
        <w:left w:val="none" w:sz="0" w:space="0" w:color="auto"/>
        <w:bottom w:val="none" w:sz="0" w:space="0" w:color="auto"/>
        <w:right w:val="none" w:sz="0" w:space="0" w:color="auto"/>
      </w:divBdr>
    </w:div>
    <w:div w:id="1076627077">
      <w:bodyDiv w:val="1"/>
      <w:marLeft w:val="0"/>
      <w:marRight w:val="0"/>
      <w:marTop w:val="0"/>
      <w:marBottom w:val="0"/>
      <w:divBdr>
        <w:top w:val="none" w:sz="0" w:space="0" w:color="auto"/>
        <w:left w:val="none" w:sz="0" w:space="0" w:color="auto"/>
        <w:bottom w:val="none" w:sz="0" w:space="0" w:color="auto"/>
        <w:right w:val="none" w:sz="0" w:space="0" w:color="auto"/>
      </w:divBdr>
    </w:div>
    <w:div w:id="1168255810">
      <w:bodyDiv w:val="1"/>
      <w:marLeft w:val="0"/>
      <w:marRight w:val="0"/>
      <w:marTop w:val="0"/>
      <w:marBottom w:val="0"/>
      <w:divBdr>
        <w:top w:val="none" w:sz="0" w:space="0" w:color="auto"/>
        <w:left w:val="none" w:sz="0" w:space="0" w:color="auto"/>
        <w:bottom w:val="none" w:sz="0" w:space="0" w:color="auto"/>
        <w:right w:val="none" w:sz="0" w:space="0" w:color="auto"/>
      </w:divBdr>
    </w:div>
    <w:div w:id="1195579419">
      <w:bodyDiv w:val="1"/>
      <w:marLeft w:val="0"/>
      <w:marRight w:val="0"/>
      <w:marTop w:val="0"/>
      <w:marBottom w:val="0"/>
      <w:divBdr>
        <w:top w:val="none" w:sz="0" w:space="0" w:color="auto"/>
        <w:left w:val="none" w:sz="0" w:space="0" w:color="auto"/>
        <w:bottom w:val="none" w:sz="0" w:space="0" w:color="auto"/>
        <w:right w:val="none" w:sz="0" w:space="0" w:color="auto"/>
      </w:divBdr>
    </w:div>
    <w:div w:id="1204635688">
      <w:bodyDiv w:val="1"/>
      <w:marLeft w:val="0"/>
      <w:marRight w:val="0"/>
      <w:marTop w:val="0"/>
      <w:marBottom w:val="0"/>
      <w:divBdr>
        <w:top w:val="none" w:sz="0" w:space="0" w:color="auto"/>
        <w:left w:val="none" w:sz="0" w:space="0" w:color="auto"/>
        <w:bottom w:val="none" w:sz="0" w:space="0" w:color="auto"/>
        <w:right w:val="none" w:sz="0" w:space="0" w:color="auto"/>
      </w:divBdr>
    </w:div>
    <w:div w:id="1241599914">
      <w:bodyDiv w:val="1"/>
      <w:marLeft w:val="0"/>
      <w:marRight w:val="0"/>
      <w:marTop w:val="0"/>
      <w:marBottom w:val="0"/>
      <w:divBdr>
        <w:top w:val="none" w:sz="0" w:space="0" w:color="auto"/>
        <w:left w:val="none" w:sz="0" w:space="0" w:color="auto"/>
        <w:bottom w:val="none" w:sz="0" w:space="0" w:color="auto"/>
        <w:right w:val="none" w:sz="0" w:space="0" w:color="auto"/>
      </w:divBdr>
    </w:div>
    <w:div w:id="1267886291">
      <w:bodyDiv w:val="1"/>
      <w:marLeft w:val="0"/>
      <w:marRight w:val="0"/>
      <w:marTop w:val="0"/>
      <w:marBottom w:val="0"/>
      <w:divBdr>
        <w:top w:val="none" w:sz="0" w:space="0" w:color="auto"/>
        <w:left w:val="none" w:sz="0" w:space="0" w:color="auto"/>
        <w:bottom w:val="none" w:sz="0" w:space="0" w:color="auto"/>
        <w:right w:val="none" w:sz="0" w:space="0" w:color="auto"/>
      </w:divBdr>
    </w:div>
    <w:div w:id="1268541880">
      <w:bodyDiv w:val="1"/>
      <w:marLeft w:val="0"/>
      <w:marRight w:val="0"/>
      <w:marTop w:val="0"/>
      <w:marBottom w:val="0"/>
      <w:divBdr>
        <w:top w:val="none" w:sz="0" w:space="0" w:color="auto"/>
        <w:left w:val="none" w:sz="0" w:space="0" w:color="auto"/>
        <w:bottom w:val="none" w:sz="0" w:space="0" w:color="auto"/>
        <w:right w:val="none" w:sz="0" w:space="0" w:color="auto"/>
      </w:divBdr>
    </w:div>
    <w:div w:id="1271740038">
      <w:bodyDiv w:val="1"/>
      <w:marLeft w:val="0"/>
      <w:marRight w:val="0"/>
      <w:marTop w:val="0"/>
      <w:marBottom w:val="0"/>
      <w:divBdr>
        <w:top w:val="none" w:sz="0" w:space="0" w:color="auto"/>
        <w:left w:val="none" w:sz="0" w:space="0" w:color="auto"/>
        <w:bottom w:val="none" w:sz="0" w:space="0" w:color="auto"/>
        <w:right w:val="none" w:sz="0" w:space="0" w:color="auto"/>
      </w:divBdr>
      <w:divsChild>
        <w:div w:id="558903765">
          <w:marLeft w:val="0"/>
          <w:marRight w:val="0"/>
          <w:marTop w:val="0"/>
          <w:marBottom w:val="0"/>
          <w:divBdr>
            <w:top w:val="none" w:sz="0" w:space="0" w:color="auto"/>
            <w:left w:val="none" w:sz="0" w:space="0" w:color="auto"/>
            <w:bottom w:val="none" w:sz="0" w:space="0" w:color="auto"/>
            <w:right w:val="none" w:sz="0" w:space="0" w:color="auto"/>
          </w:divBdr>
          <w:divsChild>
            <w:div w:id="1133673008">
              <w:marLeft w:val="0"/>
              <w:marRight w:val="0"/>
              <w:marTop w:val="0"/>
              <w:marBottom w:val="0"/>
              <w:divBdr>
                <w:top w:val="none" w:sz="0" w:space="0" w:color="auto"/>
                <w:left w:val="none" w:sz="0" w:space="0" w:color="auto"/>
                <w:bottom w:val="none" w:sz="0" w:space="0" w:color="auto"/>
                <w:right w:val="none" w:sz="0" w:space="0" w:color="auto"/>
              </w:divBdr>
              <w:divsChild>
                <w:div w:id="3801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7171">
      <w:bodyDiv w:val="1"/>
      <w:marLeft w:val="0"/>
      <w:marRight w:val="0"/>
      <w:marTop w:val="0"/>
      <w:marBottom w:val="0"/>
      <w:divBdr>
        <w:top w:val="none" w:sz="0" w:space="0" w:color="auto"/>
        <w:left w:val="none" w:sz="0" w:space="0" w:color="auto"/>
        <w:bottom w:val="none" w:sz="0" w:space="0" w:color="auto"/>
        <w:right w:val="none" w:sz="0" w:space="0" w:color="auto"/>
      </w:divBdr>
    </w:div>
    <w:div w:id="1333488653">
      <w:bodyDiv w:val="1"/>
      <w:marLeft w:val="0"/>
      <w:marRight w:val="0"/>
      <w:marTop w:val="0"/>
      <w:marBottom w:val="0"/>
      <w:divBdr>
        <w:top w:val="none" w:sz="0" w:space="0" w:color="auto"/>
        <w:left w:val="none" w:sz="0" w:space="0" w:color="auto"/>
        <w:bottom w:val="none" w:sz="0" w:space="0" w:color="auto"/>
        <w:right w:val="none" w:sz="0" w:space="0" w:color="auto"/>
      </w:divBdr>
    </w:div>
    <w:div w:id="1338536638">
      <w:bodyDiv w:val="1"/>
      <w:marLeft w:val="0"/>
      <w:marRight w:val="0"/>
      <w:marTop w:val="0"/>
      <w:marBottom w:val="0"/>
      <w:divBdr>
        <w:top w:val="none" w:sz="0" w:space="0" w:color="auto"/>
        <w:left w:val="none" w:sz="0" w:space="0" w:color="auto"/>
        <w:bottom w:val="none" w:sz="0" w:space="0" w:color="auto"/>
        <w:right w:val="none" w:sz="0" w:space="0" w:color="auto"/>
      </w:divBdr>
    </w:div>
    <w:div w:id="1379549581">
      <w:bodyDiv w:val="1"/>
      <w:marLeft w:val="0"/>
      <w:marRight w:val="0"/>
      <w:marTop w:val="0"/>
      <w:marBottom w:val="0"/>
      <w:divBdr>
        <w:top w:val="none" w:sz="0" w:space="0" w:color="auto"/>
        <w:left w:val="none" w:sz="0" w:space="0" w:color="auto"/>
        <w:bottom w:val="none" w:sz="0" w:space="0" w:color="auto"/>
        <w:right w:val="none" w:sz="0" w:space="0" w:color="auto"/>
      </w:divBdr>
    </w:div>
    <w:div w:id="1382246810">
      <w:bodyDiv w:val="1"/>
      <w:marLeft w:val="0"/>
      <w:marRight w:val="0"/>
      <w:marTop w:val="0"/>
      <w:marBottom w:val="0"/>
      <w:divBdr>
        <w:top w:val="none" w:sz="0" w:space="0" w:color="auto"/>
        <w:left w:val="none" w:sz="0" w:space="0" w:color="auto"/>
        <w:bottom w:val="none" w:sz="0" w:space="0" w:color="auto"/>
        <w:right w:val="none" w:sz="0" w:space="0" w:color="auto"/>
      </w:divBdr>
    </w:div>
    <w:div w:id="1397775288">
      <w:bodyDiv w:val="1"/>
      <w:marLeft w:val="0"/>
      <w:marRight w:val="0"/>
      <w:marTop w:val="0"/>
      <w:marBottom w:val="0"/>
      <w:divBdr>
        <w:top w:val="none" w:sz="0" w:space="0" w:color="auto"/>
        <w:left w:val="none" w:sz="0" w:space="0" w:color="auto"/>
        <w:bottom w:val="none" w:sz="0" w:space="0" w:color="auto"/>
        <w:right w:val="none" w:sz="0" w:space="0" w:color="auto"/>
      </w:divBdr>
    </w:div>
    <w:div w:id="1405185003">
      <w:bodyDiv w:val="1"/>
      <w:marLeft w:val="0"/>
      <w:marRight w:val="0"/>
      <w:marTop w:val="0"/>
      <w:marBottom w:val="0"/>
      <w:divBdr>
        <w:top w:val="none" w:sz="0" w:space="0" w:color="auto"/>
        <w:left w:val="none" w:sz="0" w:space="0" w:color="auto"/>
        <w:bottom w:val="none" w:sz="0" w:space="0" w:color="auto"/>
        <w:right w:val="none" w:sz="0" w:space="0" w:color="auto"/>
      </w:divBdr>
    </w:div>
    <w:div w:id="1420911462">
      <w:bodyDiv w:val="1"/>
      <w:marLeft w:val="0"/>
      <w:marRight w:val="0"/>
      <w:marTop w:val="0"/>
      <w:marBottom w:val="0"/>
      <w:divBdr>
        <w:top w:val="none" w:sz="0" w:space="0" w:color="auto"/>
        <w:left w:val="none" w:sz="0" w:space="0" w:color="auto"/>
        <w:bottom w:val="none" w:sz="0" w:space="0" w:color="auto"/>
        <w:right w:val="none" w:sz="0" w:space="0" w:color="auto"/>
      </w:divBdr>
      <w:divsChild>
        <w:div w:id="772944381">
          <w:marLeft w:val="0"/>
          <w:marRight w:val="0"/>
          <w:marTop w:val="0"/>
          <w:marBottom w:val="0"/>
          <w:divBdr>
            <w:top w:val="none" w:sz="0" w:space="0" w:color="auto"/>
            <w:left w:val="none" w:sz="0" w:space="0" w:color="auto"/>
            <w:bottom w:val="none" w:sz="0" w:space="0" w:color="auto"/>
            <w:right w:val="none" w:sz="0" w:space="0" w:color="auto"/>
          </w:divBdr>
          <w:divsChild>
            <w:div w:id="854921201">
              <w:marLeft w:val="0"/>
              <w:marRight w:val="0"/>
              <w:marTop w:val="0"/>
              <w:marBottom w:val="0"/>
              <w:divBdr>
                <w:top w:val="none" w:sz="0" w:space="0" w:color="auto"/>
                <w:left w:val="none" w:sz="0" w:space="0" w:color="auto"/>
                <w:bottom w:val="none" w:sz="0" w:space="0" w:color="auto"/>
                <w:right w:val="none" w:sz="0" w:space="0" w:color="auto"/>
              </w:divBdr>
              <w:divsChild>
                <w:div w:id="13619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4934">
      <w:bodyDiv w:val="1"/>
      <w:marLeft w:val="0"/>
      <w:marRight w:val="0"/>
      <w:marTop w:val="0"/>
      <w:marBottom w:val="0"/>
      <w:divBdr>
        <w:top w:val="none" w:sz="0" w:space="0" w:color="auto"/>
        <w:left w:val="none" w:sz="0" w:space="0" w:color="auto"/>
        <w:bottom w:val="none" w:sz="0" w:space="0" w:color="auto"/>
        <w:right w:val="none" w:sz="0" w:space="0" w:color="auto"/>
      </w:divBdr>
    </w:div>
    <w:div w:id="1438284415">
      <w:bodyDiv w:val="1"/>
      <w:marLeft w:val="0"/>
      <w:marRight w:val="0"/>
      <w:marTop w:val="0"/>
      <w:marBottom w:val="0"/>
      <w:divBdr>
        <w:top w:val="none" w:sz="0" w:space="0" w:color="auto"/>
        <w:left w:val="none" w:sz="0" w:space="0" w:color="auto"/>
        <w:bottom w:val="none" w:sz="0" w:space="0" w:color="auto"/>
        <w:right w:val="none" w:sz="0" w:space="0" w:color="auto"/>
      </w:divBdr>
    </w:div>
    <w:div w:id="1462113157">
      <w:bodyDiv w:val="1"/>
      <w:marLeft w:val="0"/>
      <w:marRight w:val="0"/>
      <w:marTop w:val="0"/>
      <w:marBottom w:val="0"/>
      <w:divBdr>
        <w:top w:val="none" w:sz="0" w:space="0" w:color="auto"/>
        <w:left w:val="none" w:sz="0" w:space="0" w:color="auto"/>
        <w:bottom w:val="none" w:sz="0" w:space="0" w:color="auto"/>
        <w:right w:val="none" w:sz="0" w:space="0" w:color="auto"/>
      </w:divBdr>
    </w:div>
    <w:div w:id="1489246834">
      <w:bodyDiv w:val="1"/>
      <w:marLeft w:val="0"/>
      <w:marRight w:val="0"/>
      <w:marTop w:val="0"/>
      <w:marBottom w:val="0"/>
      <w:divBdr>
        <w:top w:val="none" w:sz="0" w:space="0" w:color="auto"/>
        <w:left w:val="none" w:sz="0" w:space="0" w:color="auto"/>
        <w:bottom w:val="none" w:sz="0" w:space="0" w:color="auto"/>
        <w:right w:val="none" w:sz="0" w:space="0" w:color="auto"/>
      </w:divBdr>
    </w:div>
    <w:div w:id="1505197163">
      <w:bodyDiv w:val="1"/>
      <w:marLeft w:val="0"/>
      <w:marRight w:val="0"/>
      <w:marTop w:val="0"/>
      <w:marBottom w:val="0"/>
      <w:divBdr>
        <w:top w:val="none" w:sz="0" w:space="0" w:color="auto"/>
        <w:left w:val="none" w:sz="0" w:space="0" w:color="auto"/>
        <w:bottom w:val="none" w:sz="0" w:space="0" w:color="auto"/>
        <w:right w:val="none" w:sz="0" w:space="0" w:color="auto"/>
      </w:divBdr>
    </w:div>
    <w:div w:id="1507751073">
      <w:bodyDiv w:val="1"/>
      <w:marLeft w:val="0"/>
      <w:marRight w:val="0"/>
      <w:marTop w:val="0"/>
      <w:marBottom w:val="0"/>
      <w:divBdr>
        <w:top w:val="none" w:sz="0" w:space="0" w:color="auto"/>
        <w:left w:val="none" w:sz="0" w:space="0" w:color="auto"/>
        <w:bottom w:val="none" w:sz="0" w:space="0" w:color="auto"/>
        <w:right w:val="none" w:sz="0" w:space="0" w:color="auto"/>
      </w:divBdr>
      <w:divsChild>
        <w:div w:id="241380861">
          <w:marLeft w:val="0"/>
          <w:marRight w:val="0"/>
          <w:marTop w:val="0"/>
          <w:marBottom w:val="0"/>
          <w:divBdr>
            <w:top w:val="none" w:sz="0" w:space="0" w:color="auto"/>
            <w:left w:val="none" w:sz="0" w:space="0" w:color="auto"/>
            <w:bottom w:val="none" w:sz="0" w:space="0" w:color="auto"/>
            <w:right w:val="none" w:sz="0" w:space="0" w:color="auto"/>
          </w:divBdr>
          <w:divsChild>
            <w:div w:id="1885481507">
              <w:marLeft w:val="0"/>
              <w:marRight w:val="0"/>
              <w:marTop w:val="0"/>
              <w:marBottom w:val="0"/>
              <w:divBdr>
                <w:top w:val="none" w:sz="0" w:space="0" w:color="auto"/>
                <w:left w:val="none" w:sz="0" w:space="0" w:color="auto"/>
                <w:bottom w:val="none" w:sz="0" w:space="0" w:color="auto"/>
                <w:right w:val="none" w:sz="0" w:space="0" w:color="auto"/>
              </w:divBdr>
              <w:divsChild>
                <w:div w:id="2384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2964">
      <w:bodyDiv w:val="1"/>
      <w:marLeft w:val="0"/>
      <w:marRight w:val="0"/>
      <w:marTop w:val="0"/>
      <w:marBottom w:val="0"/>
      <w:divBdr>
        <w:top w:val="none" w:sz="0" w:space="0" w:color="auto"/>
        <w:left w:val="none" w:sz="0" w:space="0" w:color="auto"/>
        <w:bottom w:val="none" w:sz="0" w:space="0" w:color="auto"/>
        <w:right w:val="none" w:sz="0" w:space="0" w:color="auto"/>
      </w:divBdr>
    </w:div>
    <w:div w:id="1530491613">
      <w:bodyDiv w:val="1"/>
      <w:marLeft w:val="0"/>
      <w:marRight w:val="0"/>
      <w:marTop w:val="0"/>
      <w:marBottom w:val="0"/>
      <w:divBdr>
        <w:top w:val="none" w:sz="0" w:space="0" w:color="auto"/>
        <w:left w:val="none" w:sz="0" w:space="0" w:color="auto"/>
        <w:bottom w:val="none" w:sz="0" w:space="0" w:color="auto"/>
        <w:right w:val="none" w:sz="0" w:space="0" w:color="auto"/>
      </w:divBdr>
    </w:div>
    <w:div w:id="1563448723">
      <w:bodyDiv w:val="1"/>
      <w:marLeft w:val="0"/>
      <w:marRight w:val="0"/>
      <w:marTop w:val="0"/>
      <w:marBottom w:val="0"/>
      <w:divBdr>
        <w:top w:val="none" w:sz="0" w:space="0" w:color="auto"/>
        <w:left w:val="none" w:sz="0" w:space="0" w:color="auto"/>
        <w:bottom w:val="none" w:sz="0" w:space="0" w:color="auto"/>
        <w:right w:val="none" w:sz="0" w:space="0" w:color="auto"/>
      </w:divBdr>
    </w:div>
    <w:div w:id="1581401254">
      <w:bodyDiv w:val="1"/>
      <w:marLeft w:val="0"/>
      <w:marRight w:val="0"/>
      <w:marTop w:val="0"/>
      <w:marBottom w:val="0"/>
      <w:divBdr>
        <w:top w:val="none" w:sz="0" w:space="0" w:color="auto"/>
        <w:left w:val="none" w:sz="0" w:space="0" w:color="auto"/>
        <w:bottom w:val="none" w:sz="0" w:space="0" w:color="auto"/>
        <w:right w:val="none" w:sz="0" w:space="0" w:color="auto"/>
      </w:divBdr>
    </w:div>
    <w:div w:id="1584218524">
      <w:bodyDiv w:val="1"/>
      <w:marLeft w:val="0"/>
      <w:marRight w:val="0"/>
      <w:marTop w:val="0"/>
      <w:marBottom w:val="0"/>
      <w:divBdr>
        <w:top w:val="none" w:sz="0" w:space="0" w:color="auto"/>
        <w:left w:val="none" w:sz="0" w:space="0" w:color="auto"/>
        <w:bottom w:val="none" w:sz="0" w:space="0" w:color="auto"/>
        <w:right w:val="none" w:sz="0" w:space="0" w:color="auto"/>
      </w:divBdr>
    </w:div>
    <w:div w:id="1605848413">
      <w:bodyDiv w:val="1"/>
      <w:marLeft w:val="0"/>
      <w:marRight w:val="0"/>
      <w:marTop w:val="0"/>
      <w:marBottom w:val="0"/>
      <w:divBdr>
        <w:top w:val="none" w:sz="0" w:space="0" w:color="auto"/>
        <w:left w:val="none" w:sz="0" w:space="0" w:color="auto"/>
        <w:bottom w:val="none" w:sz="0" w:space="0" w:color="auto"/>
        <w:right w:val="none" w:sz="0" w:space="0" w:color="auto"/>
      </w:divBdr>
    </w:div>
    <w:div w:id="1671905490">
      <w:bodyDiv w:val="1"/>
      <w:marLeft w:val="0"/>
      <w:marRight w:val="0"/>
      <w:marTop w:val="0"/>
      <w:marBottom w:val="0"/>
      <w:divBdr>
        <w:top w:val="none" w:sz="0" w:space="0" w:color="auto"/>
        <w:left w:val="none" w:sz="0" w:space="0" w:color="auto"/>
        <w:bottom w:val="none" w:sz="0" w:space="0" w:color="auto"/>
        <w:right w:val="none" w:sz="0" w:space="0" w:color="auto"/>
      </w:divBdr>
    </w:div>
    <w:div w:id="1723554910">
      <w:bodyDiv w:val="1"/>
      <w:marLeft w:val="0"/>
      <w:marRight w:val="0"/>
      <w:marTop w:val="0"/>
      <w:marBottom w:val="0"/>
      <w:divBdr>
        <w:top w:val="none" w:sz="0" w:space="0" w:color="auto"/>
        <w:left w:val="none" w:sz="0" w:space="0" w:color="auto"/>
        <w:bottom w:val="none" w:sz="0" w:space="0" w:color="auto"/>
        <w:right w:val="none" w:sz="0" w:space="0" w:color="auto"/>
      </w:divBdr>
    </w:div>
    <w:div w:id="1760907568">
      <w:bodyDiv w:val="1"/>
      <w:marLeft w:val="0"/>
      <w:marRight w:val="0"/>
      <w:marTop w:val="0"/>
      <w:marBottom w:val="0"/>
      <w:divBdr>
        <w:top w:val="none" w:sz="0" w:space="0" w:color="auto"/>
        <w:left w:val="none" w:sz="0" w:space="0" w:color="auto"/>
        <w:bottom w:val="none" w:sz="0" w:space="0" w:color="auto"/>
        <w:right w:val="none" w:sz="0" w:space="0" w:color="auto"/>
      </w:divBdr>
    </w:div>
    <w:div w:id="1783645610">
      <w:bodyDiv w:val="1"/>
      <w:marLeft w:val="0"/>
      <w:marRight w:val="0"/>
      <w:marTop w:val="0"/>
      <w:marBottom w:val="0"/>
      <w:divBdr>
        <w:top w:val="none" w:sz="0" w:space="0" w:color="auto"/>
        <w:left w:val="none" w:sz="0" w:space="0" w:color="auto"/>
        <w:bottom w:val="none" w:sz="0" w:space="0" w:color="auto"/>
        <w:right w:val="none" w:sz="0" w:space="0" w:color="auto"/>
      </w:divBdr>
    </w:div>
    <w:div w:id="1785729828">
      <w:bodyDiv w:val="1"/>
      <w:marLeft w:val="0"/>
      <w:marRight w:val="0"/>
      <w:marTop w:val="0"/>
      <w:marBottom w:val="0"/>
      <w:divBdr>
        <w:top w:val="none" w:sz="0" w:space="0" w:color="auto"/>
        <w:left w:val="none" w:sz="0" w:space="0" w:color="auto"/>
        <w:bottom w:val="none" w:sz="0" w:space="0" w:color="auto"/>
        <w:right w:val="none" w:sz="0" w:space="0" w:color="auto"/>
      </w:divBdr>
    </w:div>
    <w:div w:id="1787234001">
      <w:bodyDiv w:val="1"/>
      <w:marLeft w:val="0"/>
      <w:marRight w:val="0"/>
      <w:marTop w:val="0"/>
      <w:marBottom w:val="0"/>
      <w:divBdr>
        <w:top w:val="none" w:sz="0" w:space="0" w:color="auto"/>
        <w:left w:val="none" w:sz="0" w:space="0" w:color="auto"/>
        <w:bottom w:val="none" w:sz="0" w:space="0" w:color="auto"/>
        <w:right w:val="none" w:sz="0" w:space="0" w:color="auto"/>
      </w:divBdr>
    </w:div>
    <w:div w:id="1788936685">
      <w:bodyDiv w:val="1"/>
      <w:marLeft w:val="0"/>
      <w:marRight w:val="0"/>
      <w:marTop w:val="0"/>
      <w:marBottom w:val="0"/>
      <w:divBdr>
        <w:top w:val="none" w:sz="0" w:space="0" w:color="auto"/>
        <w:left w:val="none" w:sz="0" w:space="0" w:color="auto"/>
        <w:bottom w:val="none" w:sz="0" w:space="0" w:color="auto"/>
        <w:right w:val="none" w:sz="0" w:space="0" w:color="auto"/>
      </w:divBdr>
    </w:div>
    <w:div w:id="1793480279">
      <w:bodyDiv w:val="1"/>
      <w:marLeft w:val="0"/>
      <w:marRight w:val="0"/>
      <w:marTop w:val="0"/>
      <w:marBottom w:val="0"/>
      <w:divBdr>
        <w:top w:val="none" w:sz="0" w:space="0" w:color="auto"/>
        <w:left w:val="none" w:sz="0" w:space="0" w:color="auto"/>
        <w:bottom w:val="none" w:sz="0" w:space="0" w:color="auto"/>
        <w:right w:val="none" w:sz="0" w:space="0" w:color="auto"/>
      </w:divBdr>
      <w:divsChild>
        <w:div w:id="1797212261">
          <w:marLeft w:val="0"/>
          <w:marRight w:val="0"/>
          <w:marTop w:val="0"/>
          <w:marBottom w:val="0"/>
          <w:divBdr>
            <w:top w:val="none" w:sz="0" w:space="0" w:color="auto"/>
            <w:left w:val="none" w:sz="0" w:space="0" w:color="auto"/>
            <w:bottom w:val="none" w:sz="0" w:space="0" w:color="auto"/>
            <w:right w:val="none" w:sz="0" w:space="0" w:color="auto"/>
          </w:divBdr>
          <w:divsChild>
            <w:div w:id="829442640">
              <w:marLeft w:val="0"/>
              <w:marRight w:val="0"/>
              <w:marTop w:val="0"/>
              <w:marBottom w:val="0"/>
              <w:divBdr>
                <w:top w:val="none" w:sz="0" w:space="0" w:color="auto"/>
                <w:left w:val="none" w:sz="0" w:space="0" w:color="auto"/>
                <w:bottom w:val="none" w:sz="0" w:space="0" w:color="auto"/>
                <w:right w:val="none" w:sz="0" w:space="0" w:color="auto"/>
              </w:divBdr>
              <w:divsChild>
                <w:div w:id="17765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9227">
      <w:bodyDiv w:val="1"/>
      <w:marLeft w:val="0"/>
      <w:marRight w:val="0"/>
      <w:marTop w:val="0"/>
      <w:marBottom w:val="0"/>
      <w:divBdr>
        <w:top w:val="none" w:sz="0" w:space="0" w:color="auto"/>
        <w:left w:val="none" w:sz="0" w:space="0" w:color="auto"/>
        <w:bottom w:val="none" w:sz="0" w:space="0" w:color="auto"/>
        <w:right w:val="none" w:sz="0" w:space="0" w:color="auto"/>
      </w:divBdr>
    </w:div>
    <w:div w:id="1825928035">
      <w:bodyDiv w:val="1"/>
      <w:marLeft w:val="0"/>
      <w:marRight w:val="0"/>
      <w:marTop w:val="0"/>
      <w:marBottom w:val="0"/>
      <w:divBdr>
        <w:top w:val="none" w:sz="0" w:space="0" w:color="auto"/>
        <w:left w:val="none" w:sz="0" w:space="0" w:color="auto"/>
        <w:bottom w:val="none" w:sz="0" w:space="0" w:color="auto"/>
        <w:right w:val="none" w:sz="0" w:space="0" w:color="auto"/>
      </w:divBdr>
    </w:div>
    <w:div w:id="1849177604">
      <w:bodyDiv w:val="1"/>
      <w:marLeft w:val="0"/>
      <w:marRight w:val="0"/>
      <w:marTop w:val="0"/>
      <w:marBottom w:val="0"/>
      <w:divBdr>
        <w:top w:val="none" w:sz="0" w:space="0" w:color="auto"/>
        <w:left w:val="none" w:sz="0" w:space="0" w:color="auto"/>
        <w:bottom w:val="none" w:sz="0" w:space="0" w:color="auto"/>
        <w:right w:val="none" w:sz="0" w:space="0" w:color="auto"/>
      </w:divBdr>
    </w:div>
    <w:div w:id="1851139794">
      <w:bodyDiv w:val="1"/>
      <w:marLeft w:val="0"/>
      <w:marRight w:val="0"/>
      <w:marTop w:val="0"/>
      <w:marBottom w:val="0"/>
      <w:divBdr>
        <w:top w:val="none" w:sz="0" w:space="0" w:color="auto"/>
        <w:left w:val="none" w:sz="0" w:space="0" w:color="auto"/>
        <w:bottom w:val="none" w:sz="0" w:space="0" w:color="auto"/>
        <w:right w:val="none" w:sz="0" w:space="0" w:color="auto"/>
      </w:divBdr>
    </w:div>
    <w:div w:id="1851720381">
      <w:bodyDiv w:val="1"/>
      <w:marLeft w:val="0"/>
      <w:marRight w:val="0"/>
      <w:marTop w:val="0"/>
      <w:marBottom w:val="0"/>
      <w:divBdr>
        <w:top w:val="none" w:sz="0" w:space="0" w:color="auto"/>
        <w:left w:val="none" w:sz="0" w:space="0" w:color="auto"/>
        <w:bottom w:val="none" w:sz="0" w:space="0" w:color="auto"/>
        <w:right w:val="none" w:sz="0" w:space="0" w:color="auto"/>
      </w:divBdr>
    </w:div>
    <w:div w:id="1898785281">
      <w:bodyDiv w:val="1"/>
      <w:marLeft w:val="0"/>
      <w:marRight w:val="0"/>
      <w:marTop w:val="0"/>
      <w:marBottom w:val="0"/>
      <w:divBdr>
        <w:top w:val="none" w:sz="0" w:space="0" w:color="auto"/>
        <w:left w:val="none" w:sz="0" w:space="0" w:color="auto"/>
        <w:bottom w:val="none" w:sz="0" w:space="0" w:color="auto"/>
        <w:right w:val="none" w:sz="0" w:space="0" w:color="auto"/>
      </w:divBdr>
    </w:div>
    <w:div w:id="1903439646">
      <w:bodyDiv w:val="1"/>
      <w:marLeft w:val="0"/>
      <w:marRight w:val="0"/>
      <w:marTop w:val="0"/>
      <w:marBottom w:val="0"/>
      <w:divBdr>
        <w:top w:val="none" w:sz="0" w:space="0" w:color="auto"/>
        <w:left w:val="none" w:sz="0" w:space="0" w:color="auto"/>
        <w:bottom w:val="none" w:sz="0" w:space="0" w:color="auto"/>
        <w:right w:val="none" w:sz="0" w:space="0" w:color="auto"/>
      </w:divBdr>
    </w:div>
    <w:div w:id="1938636416">
      <w:bodyDiv w:val="1"/>
      <w:marLeft w:val="0"/>
      <w:marRight w:val="0"/>
      <w:marTop w:val="0"/>
      <w:marBottom w:val="0"/>
      <w:divBdr>
        <w:top w:val="none" w:sz="0" w:space="0" w:color="auto"/>
        <w:left w:val="none" w:sz="0" w:space="0" w:color="auto"/>
        <w:bottom w:val="none" w:sz="0" w:space="0" w:color="auto"/>
        <w:right w:val="none" w:sz="0" w:space="0" w:color="auto"/>
      </w:divBdr>
    </w:div>
    <w:div w:id="1939750623">
      <w:bodyDiv w:val="1"/>
      <w:marLeft w:val="0"/>
      <w:marRight w:val="0"/>
      <w:marTop w:val="0"/>
      <w:marBottom w:val="0"/>
      <w:divBdr>
        <w:top w:val="none" w:sz="0" w:space="0" w:color="auto"/>
        <w:left w:val="none" w:sz="0" w:space="0" w:color="auto"/>
        <w:bottom w:val="none" w:sz="0" w:space="0" w:color="auto"/>
        <w:right w:val="none" w:sz="0" w:space="0" w:color="auto"/>
      </w:divBdr>
      <w:divsChild>
        <w:div w:id="1101340507">
          <w:marLeft w:val="0"/>
          <w:marRight w:val="0"/>
          <w:marTop w:val="0"/>
          <w:marBottom w:val="0"/>
          <w:divBdr>
            <w:top w:val="none" w:sz="0" w:space="0" w:color="auto"/>
            <w:left w:val="none" w:sz="0" w:space="0" w:color="auto"/>
            <w:bottom w:val="none" w:sz="0" w:space="0" w:color="auto"/>
            <w:right w:val="none" w:sz="0" w:space="0" w:color="auto"/>
          </w:divBdr>
          <w:divsChild>
            <w:div w:id="463502767">
              <w:marLeft w:val="0"/>
              <w:marRight w:val="0"/>
              <w:marTop w:val="0"/>
              <w:marBottom w:val="0"/>
              <w:divBdr>
                <w:top w:val="none" w:sz="0" w:space="0" w:color="auto"/>
                <w:left w:val="none" w:sz="0" w:space="0" w:color="auto"/>
                <w:bottom w:val="none" w:sz="0" w:space="0" w:color="auto"/>
                <w:right w:val="none" w:sz="0" w:space="0" w:color="auto"/>
              </w:divBdr>
              <w:divsChild>
                <w:div w:id="21243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2611">
      <w:bodyDiv w:val="1"/>
      <w:marLeft w:val="0"/>
      <w:marRight w:val="0"/>
      <w:marTop w:val="0"/>
      <w:marBottom w:val="0"/>
      <w:divBdr>
        <w:top w:val="none" w:sz="0" w:space="0" w:color="auto"/>
        <w:left w:val="none" w:sz="0" w:space="0" w:color="auto"/>
        <w:bottom w:val="none" w:sz="0" w:space="0" w:color="auto"/>
        <w:right w:val="none" w:sz="0" w:space="0" w:color="auto"/>
      </w:divBdr>
      <w:divsChild>
        <w:div w:id="1778938404">
          <w:marLeft w:val="0"/>
          <w:marRight w:val="0"/>
          <w:marTop w:val="0"/>
          <w:marBottom w:val="0"/>
          <w:divBdr>
            <w:top w:val="none" w:sz="0" w:space="0" w:color="auto"/>
            <w:left w:val="none" w:sz="0" w:space="0" w:color="auto"/>
            <w:bottom w:val="none" w:sz="0" w:space="0" w:color="auto"/>
            <w:right w:val="none" w:sz="0" w:space="0" w:color="auto"/>
          </w:divBdr>
        </w:div>
      </w:divsChild>
    </w:div>
    <w:div w:id="1949894606">
      <w:bodyDiv w:val="1"/>
      <w:marLeft w:val="0"/>
      <w:marRight w:val="0"/>
      <w:marTop w:val="0"/>
      <w:marBottom w:val="0"/>
      <w:divBdr>
        <w:top w:val="none" w:sz="0" w:space="0" w:color="auto"/>
        <w:left w:val="none" w:sz="0" w:space="0" w:color="auto"/>
        <w:bottom w:val="none" w:sz="0" w:space="0" w:color="auto"/>
        <w:right w:val="none" w:sz="0" w:space="0" w:color="auto"/>
      </w:divBdr>
    </w:div>
    <w:div w:id="1979256912">
      <w:bodyDiv w:val="1"/>
      <w:marLeft w:val="0"/>
      <w:marRight w:val="0"/>
      <w:marTop w:val="0"/>
      <w:marBottom w:val="0"/>
      <w:divBdr>
        <w:top w:val="none" w:sz="0" w:space="0" w:color="auto"/>
        <w:left w:val="none" w:sz="0" w:space="0" w:color="auto"/>
        <w:bottom w:val="none" w:sz="0" w:space="0" w:color="auto"/>
        <w:right w:val="none" w:sz="0" w:space="0" w:color="auto"/>
      </w:divBdr>
    </w:div>
    <w:div w:id="1995183948">
      <w:bodyDiv w:val="1"/>
      <w:marLeft w:val="0"/>
      <w:marRight w:val="0"/>
      <w:marTop w:val="0"/>
      <w:marBottom w:val="0"/>
      <w:divBdr>
        <w:top w:val="none" w:sz="0" w:space="0" w:color="auto"/>
        <w:left w:val="none" w:sz="0" w:space="0" w:color="auto"/>
        <w:bottom w:val="none" w:sz="0" w:space="0" w:color="auto"/>
        <w:right w:val="none" w:sz="0" w:space="0" w:color="auto"/>
      </w:divBdr>
    </w:div>
    <w:div w:id="2005356298">
      <w:bodyDiv w:val="1"/>
      <w:marLeft w:val="0"/>
      <w:marRight w:val="0"/>
      <w:marTop w:val="0"/>
      <w:marBottom w:val="0"/>
      <w:divBdr>
        <w:top w:val="none" w:sz="0" w:space="0" w:color="auto"/>
        <w:left w:val="none" w:sz="0" w:space="0" w:color="auto"/>
        <w:bottom w:val="none" w:sz="0" w:space="0" w:color="auto"/>
        <w:right w:val="none" w:sz="0" w:space="0" w:color="auto"/>
      </w:divBdr>
    </w:div>
    <w:div w:id="2011252759">
      <w:bodyDiv w:val="1"/>
      <w:marLeft w:val="0"/>
      <w:marRight w:val="0"/>
      <w:marTop w:val="0"/>
      <w:marBottom w:val="0"/>
      <w:divBdr>
        <w:top w:val="none" w:sz="0" w:space="0" w:color="auto"/>
        <w:left w:val="none" w:sz="0" w:space="0" w:color="auto"/>
        <w:bottom w:val="none" w:sz="0" w:space="0" w:color="auto"/>
        <w:right w:val="none" w:sz="0" w:space="0" w:color="auto"/>
      </w:divBdr>
      <w:divsChild>
        <w:div w:id="123041207">
          <w:marLeft w:val="0"/>
          <w:marRight w:val="0"/>
          <w:marTop w:val="0"/>
          <w:marBottom w:val="0"/>
          <w:divBdr>
            <w:top w:val="none" w:sz="0" w:space="0" w:color="auto"/>
            <w:left w:val="none" w:sz="0" w:space="0" w:color="auto"/>
            <w:bottom w:val="none" w:sz="0" w:space="0" w:color="auto"/>
            <w:right w:val="none" w:sz="0" w:space="0" w:color="auto"/>
          </w:divBdr>
          <w:divsChild>
            <w:div w:id="1048261057">
              <w:marLeft w:val="0"/>
              <w:marRight w:val="0"/>
              <w:marTop w:val="0"/>
              <w:marBottom w:val="0"/>
              <w:divBdr>
                <w:top w:val="none" w:sz="0" w:space="0" w:color="auto"/>
                <w:left w:val="none" w:sz="0" w:space="0" w:color="auto"/>
                <w:bottom w:val="none" w:sz="0" w:space="0" w:color="auto"/>
                <w:right w:val="none" w:sz="0" w:space="0" w:color="auto"/>
              </w:divBdr>
              <w:divsChild>
                <w:div w:id="83843567">
                  <w:marLeft w:val="0"/>
                  <w:marRight w:val="0"/>
                  <w:marTop w:val="0"/>
                  <w:marBottom w:val="0"/>
                  <w:divBdr>
                    <w:top w:val="none" w:sz="0" w:space="0" w:color="auto"/>
                    <w:left w:val="none" w:sz="0" w:space="0" w:color="auto"/>
                    <w:bottom w:val="none" w:sz="0" w:space="0" w:color="auto"/>
                    <w:right w:val="none" w:sz="0" w:space="0" w:color="auto"/>
                  </w:divBdr>
                </w:div>
              </w:divsChild>
            </w:div>
            <w:div w:id="200019272">
              <w:marLeft w:val="0"/>
              <w:marRight w:val="0"/>
              <w:marTop w:val="0"/>
              <w:marBottom w:val="0"/>
              <w:divBdr>
                <w:top w:val="none" w:sz="0" w:space="0" w:color="auto"/>
                <w:left w:val="none" w:sz="0" w:space="0" w:color="auto"/>
                <w:bottom w:val="none" w:sz="0" w:space="0" w:color="auto"/>
                <w:right w:val="none" w:sz="0" w:space="0" w:color="auto"/>
              </w:divBdr>
              <w:divsChild>
                <w:div w:id="12462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295">
          <w:marLeft w:val="0"/>
          <w:marRight w:val="0"/>
          <w:marTop w:val="0"/>
          <w:marBottom w:val="0"/>
          <w:divBdr>
            <w:top w:val="none" w:sz="0" w:space="0" w:color="auto"/>
            <w:left w:val="none" w:sz="0" w:space="0" w:color="auto"/>
            <w:bottom w:val="none" w:sz="0" w:space="0" w:color="auto"/>
            <w:right w:val="none" w:sz="0" w:space="0" w:color="auto"/>
          </w:divBdr>
          <w:divsChild>
            <w:div w:id="1830828675">
              <w:marLeft w:val="0"/>
              <w:marRight w:val="0"/>
              <w:marTop w:val="0"/>
              <w:marBottom w:val="0"/>
              <w:divBdr>
                <w:top w:val="none" w:sz="0" w:space="0" w:color="auto"/>
                <w:left w:val="none" w:sz="0" w:space="0" w:color="auto"/>
                <w:bottom w:val="none" w:sz="0" w:space="0" w:color="auto"/>
                <w:right w:val="none" w:sz="0" w:space="0" w:color="auto"/>
              </w:divBdr>
              <w:divsChild>
                <w:div w:id="6716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9919">
      <w:bodyDiv w:val="1"/>
      <w:marLeft w:val="0"/>
      <w:marRight w:val="0"/>
      <w:marTop w:val="0"/>
      <w:marBottom w:val="0"/>
      <w:divBdr>
        <w:top w:val="none" w:sz="0" w:space="0" w:color="auto"/>
        <w:left w:val="none" w:sz="0" w:space="0" w:color="auto"/>
        <w:bottom w:val="none" w:sz="0" w:space="0" w:color="auto"/>
        <w:right w:val="none" w:sz="0" w:space="0" w:color="auto"/>
      </w:divBdr>
      <w:divsChild>
        <w:div w:id="2146505165">
          <w:marLeft w:val="0"/>
          <w:marRight w:val="0"/>
          <w:marTop w:val="0"/>
          <w:marBottom w:val="0"/>
          <w:divBdr>
            <w:top w:val="none" w:sz="0" w:space="0" w:color="auto"/>
            <w:left w:val="none" w:sz="0" w:space="0" w:color="auto"/>
            <w:bottom w:val="none" w:sz="0" w:space="0" w:color="auto"/>
            <w:right w:val="none" w:sz="0" w:space="0" w:color="auto"/>
          </w:divBdr>
          <w:divsChild>
            <w:div w:id="87391264">
              <w:marLeft w:val="0"/>
              <w:marRight w:val="0"/>
              <w:marTop w:val="0"/>
              <w:marBottom w:val="0"/>
              <w:divBdr>
                <w:top w:val="none" w:sz="0" w:space="0" w:color="auto"/>
                <w:left w:val="none" w:sz="0" w:space="0" w:color="auto"/>
                <w:bottom w:val="none" w:sz="0" w:space="0" w:color="auto"/>
                <w:right w:val="none" w:sz="0" w:space="0" w:color="auto"/>
              </w:divBdr>
              <w:divsChild>
                <w:div w:id="8242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37676">
      <w:bodyDiv w:val="1"/>
      <w:marLeft w:val="0"/>
      <w:marRight w:val="0"/>
      <w:marTop w:val="0"/>
      <w:marBottom w:val="0"/>
      <w:divBdr>
        <w:top w:val="none" w:sz="0" w:space="0" w:color="auto"/>
        <w:left w:val="none" w:sz="0" w:space="0" w:color="auto"/>
        <w:bottom w:val="none" w:sz="0" w:space="0" w:color="auto"/>
        <w:right w:val="none" w:sz="0" w:space="0" w:color="auto"/>
      </w:divBdr>
    </w:div>
    <w:div w:id="2065786226">
      <w:bodyDiv w:val="1"/>
      <w:marLeft w:val="0"/>
      <w:marRight w:val="0"/>
      <w:marTop w:val="0"/>
      <w:marBottom w:val="0"/>
      <w:divBdr>
        <w:top w:val="none" w:sz="0" w:space="0" w:color="auto"/>
        <w:left w:val="none" w:sz="0" w:space="0" w:color="auto"/>
        <w:bottom w:val="none" w:sz="0" w:space="0" w:color="auto"/>
        <w:right w:val="none" w:sz="0" w:space="0" w:color="auto"/>
      </w:divBdr>
      <w:divsChild>
        <w:div w:id="1256675104">
          <w:marLeft w:val="0"/>
          <w:marRight w:val="0"/>
          <w:marTop w:val="0"/>
          <w:marBottom w:val="0"/>
          <w:divBdr>
            <w:top w:val="none" w:sz="0" w:space="0" w:color="auto"/>
            <w:left w:val="none" w:sz="0" w:space="0" w:color="auto"/>
            <w:bottom w:val="none" w:sz="0" w:space="0" w:color="auto"/>
            <w:right w:val="none" w:sz="0" w:space="0" w:color="auto"/>
          </w:divBdr>
          <w:divsChild>
            <w:div w:id="1037924249">
              <w:marLeft w:val="0"/>
              <w:marRight w:val="0"/>
              <w:marTop w:val="0"/>
              <w:marBottom w:val="0"/>
              <w:divBdr>
                <w:top w:val="none" w:sz="0" w:space="0" w:color="auto"/>
                <w:left w:val="none" w:sz="0" w:space="0" w:color="auto"/>
                <w:bottom w:val="none" w:sz="0" w:space="0" w:color="auto"/>
                <w:right w:val="none" w:sz="0" w:space="0" w:color="auto"/>
              </w:divBdr>
              <w:divsChild>
                <w:div w:id="12049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68881">
      <w:bodyDiv w:val="1"/>
      <w:marLeft w:val="0"/>
      <w:marRight w:val="0"/>
      <w:marTop w:val="0"/>
      <w:marBottom w:val="0"/>
      <w:divBdr>
        <w:top w:val="none" w:sz="0" w:space="0" w:color="auto"/>
        <w:left w:val="none" w:sz="0" w:space="0" w:color="auto"/>
        <w:bottom w:val="none" w:sz="0" w:space="0" w:color="auto"/>
        <w:right w:val="none" w:sz="0" w:space="0" w:color="auto"/>
      </w:divBdr>
    </w:div>
    <w:div w:id="2078549245">
      <w:bodyDiv w:val="1"/>
      <w:marLeft w:val="0"/>
      <w:marRight w:val="0"/>
      <w:marTop w:val="0"/>
      <w:marBottom w:val="0"/>
      <w:divBdr>
        <w:top w:val="none" w:sz="0" w:space="0" w:color="auto"/>
        <w:left w:val="none" w:sz="0" w:space="0" w:color="auto"/>
        <w:bottom w:val="none" w:sz="0" w:space="0" w:color="auto"/>
        <w:right w:val="none" w:sz="0" w:space="0" w:color="auto"/>
      </w:divBdr>
    </w:div>
    <w:div w:id="2080057446">
      <w:bodyDiv w:val="1"/>
      <w:marLeft w:val="0"/>
      <w:marRight w:val="0"/>
      <w:marTop w:val="0"/>
      <w:marBottom w:val="0"/>
      <w:divBdr>
        <w:top w:val="none" w:sz="0" w:space="0" w:color="auto"/>
        <w:left w:val="none" w:sz="0" w:space="0" w:color="auto"/>
        <w:bottom w:val="none" w:sz="0" w:space="0" w:color="auto"/>
        <w:right w:val="none" w:sz="0" w:space="0" w:color="auto"/>
      </w:divBdr>
    </w:div>
    <w:div w:id="2103379736">
      <w:bodyDiv w:val="1"/>
      <w:marLeft w:val="0"/>
      <w:marRight w:val="0"/>
      <w:marTop w:val="0"/>
      <w:marBottom w:val="0"/>
      <w:divBdr>
        <w:top w:val="none" w:sz="0" w:space="0" w:color="auto"/>
        <w:left w:val="none" w:sz="0" w:space="0" w:color="auto"/>
        <w:bottom w:val="none" w:sz="0" w:space="0" w:color="auto"/>
        <w:right w:val="none" w:sz="0" w:space="0" w:color="auto"/>
      </w:divBdr>
    </w:div>
    <w:div w:id="2127313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statistics-explained/index.php/Foreign_language_skills_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logytoday.com/blog/wired-success/201108/why-we-pay-more-attention-beautiful-peop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legraph.co.uk/news/uknews/2551882/Humans-naturally-prefer-pretty-people.html" TargetMode="External"/><Relationship Id="rId4" Type="http://schemas.openxmlformats.org/officeDocument/2006/relationships/settings" Target="settings.xml"/><Relationship Id="rId9" Type="http://schemas.openxmlformats.org/officeDocument/2006/relationships/hyperlink" Target="http://szakmai.itthon.hu/documents/28123/4083489/MTE_4001_105x210_LA4_StatElozetes_2016_ENG_NEW.pdf/db033798-0c79-4c38-8d7a-38c44a72c45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sychologytoday.com/blog/wired-success/201108/why-we-pay-more-attention-beautiful-people" TargetMode="External"/><Relationship Id="rId2" Type="http://schemas.openxmlformats.org/officeDocument/2006/relationships/hyperlink" Target="http://ec.europa.eu/eurostat/statistics-explained/index.php/Foreign_language_skills_statistics" TargetMode="External"/><Relationship Id="rId1" Type="http://schemas.openxmlformats.org/officeDocument/2006/relationships/hyperlink" Target="http://szakmai.itthon.hu/documents/28123/4083489/MTE_4001_105x210_LA4_StatElozetes_2016_ENG_NEW.pdf/db033798-0c79-4c38-8d7a-38c44a72c45f" TargetMode="External"/><Relationship Id="rId4" Type="http://schemas.openxmlformats.org/officeDocument/2006/relationships/hyperlink" Target="http://www.telegraph.co.uk/news/uknews/2551882/Humans-naturally-prefer-pretty-people.htm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7DA8DB-A96A-42F2-A3FF-1664B90A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10889</Words>
  <Characters>59893</Characters>
  <Application>Microsoft Office Word</Application>
  <DocSecurity>0</DocSecurity>
  <Lines>499</Lines>
  <Paragraphs>141</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70641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Kuzmienko</dc:creator>
  <cp:keywords/>
  <dc:description/>
  <cp:lastModifiedBy>Priscilla Bartens</cp:lastModifiedBy>
  <cp:revision>2</cp:revision>
  <dcterms:created xsi:type="dcterms:W3CDTF">2018-04-18T18:41:00Z</dcterms:created>
  <dcterms:modified xsi:type="dcterms:W3CDTF">2018-04-18T18:41:00Z</dcterms:modified>
  <cp:category/>
</cp:coreProperties>
</file>